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D4" w:rsidRDefault="00646D33" w:rsidP="004A762C">
      <w:pPr>
        <w:widowControl/>
        <w:spacing w:line="600" w:lineRule="exact"/>
        <w:jc w:val="center"/>
        <w:rPr>
          <w:rFonts w:ascii="方正小标宋简体" w:eastAsia="方正小标宋简体" w:hAnsiTheme="majorEastAsia" w:cs="宋体"/>
          <w:color w:val="000000"/>
          <w:kern w:val="0"/>
          <w:sz w:val="44"/>
          <w:szCs w:val="44"/>
        </w:rPr>
      </w:pPr>
      <w:r w:rsidRPr="003008D4">
        <w:rPr>
          <w:rFonts w:ascii="方正小标宋简体" w:eastAsia="方正小标宋简体" w:hAnsiTheme="majorEastAsia" w:cs="宋体" w:hint="eastAsia"/>
          <w:color w:val="000000"/>
          <w:kern w:val="0"/>
          <w:sz w:val="44"/>
          <w:szCs w:val="44"/>
        </w:rPr>
        <w:t>中国农业科学院</w:t>
      </w:r>
      <w:r w:rsidR="00C1666F" w:rsidRPr="003008D4">
        <w:rPr>
          <w:rFonts w:ascii="方正小标宋简体" w:eastAsia="方正小标宋简体" w:hAnsiTheme="majorEastAsia" w:cs="宋体" w:hint="eastAsia"/>
          <w:color w:val="000000"/>
          <w:kern w:val="0"/>
          <w:sz w:val="44"/>
          <w:szCs w:val="44"/>
        </w:rPr>
        <w:t>植物保护研究所</w:t>
      </w:r>
    </w:p>
    <w:p w:rsidR="007F31C7" w:rsidRPr="003008D4" w:rsidRDefault="00584A63" w:rsidP="004A762C">
      <w:pPr>
        <w:widowControl/>
        <w:spacing w:line="600" w:lineRule="exact"/>
        <w:jc w:val="center"/>
        <w:rPr>
          <w:rFonts w:ascii="方正小标宋简体" w:eastAsia="方正小标宋简体" w:hAnsiTheme="majorEastAsia" w:cs="宋体"/>
          <w:color w:val="000000"/>
          <w:kern w:val="0"/>
          <w:sz w:val="44"/>
          <w:szCs w:val="44"/>
        </w:rPr>
      </w:pPr>
      <w:r w:rsidRPr="003008D4">
        <w:rPr>
          <w:rFonts w:ascii="方正小标宋简体" w:eastAsia="方正小标宋简体" w:hAnsiTheme="majorEastAsia" w:cs="宋体" w:hint="eastAsia"/>
          <w:color w:val="000000"/>
          <w:kern w:val="0"/>
          <w:sz w:val="44"/>
          <w:szCs w:val="44"/>
        </w:rPr>
        <w:t>因公</w:t>
      </w:r>
      <w:r w:rsidR="009A117B" w:rsidRPr="003008D4">
        <w:rPr>
          <w:rFonts w:ascii="方正小标宋简体" w:eastAsia="方正小标宋简体" w:hAnsiTheme="majorEastAsia" w:cs="宋体" w:hint="eastAsia"/>
          <w:color w:val="000000"/>
          <w:kern w:val="0"/>
          <w:sz w:val="44"/>
          <w:szCs w:val="44"/>
        </w:rPr>
        <w:t>临时</w:t>
      </w:r>
      <w:r w:rsidRPr="003008D4">
        <w:rPr>
          <w:rFonts w:ascii="方正小标宋简体" w:eastAsia="方正小标宋简体" w:hAnsiTheme="majorEastAsia" w:cs="宋体" w:hint="eastAsia"/>
          <w:color w:val="000000"/>
          <w:kern w:val="0"/>
          <w:sz w:val="44"/>
          <w:szCs w:val="44"/>
        </w:rPr>
        <w:t>出国</w:t>
      </w:r>
      <w:r w:rsidR="00F30214" w:rsidRPr="003008D4">
        <w:rPr>
          <w:rFonts w:ascii="方正小标宋简体" w:eastAsia="方正小标宋简体" w:hAnsiTheme="majorEastAsia" w:cs="宋体" w:hint="eastAsia"/>
          <w:color w:val="000000"/>
          <w:kern w:val="0"/>
          <w:sz w:val="44"/>
          <w:szCs w:val="44"/>
        </w:rPr>
        <w:t>（境）</w:t>
      </w:r>
      <w:r w:rsidR="003C2FE7" w:rsidRPr="003008D4">
        <w:rPr>
          <w:rFonts w:ascii="方正小标宋简体" w:eastAsia="方正小标宋简体" w:hAnsiTheme="majorEastAsia" w:cs="宋体" w:hint="eastAsia"/>
          <w:color w:val="000000"/>
          <w:kern w:val="0"/>
          <w:sz w:val="44"/>
          <w:szCs w:val="44"/>
        </w:rPr>
        <w:t>经费</w:t>
      </w:r>
      <w:r w:rsidRPr="003008D4">
        <w:rPr>
          <w:rFonts w:ascii="方正小标宋简体" w:eastAsia="方正小标宋简体" w:hAnsiTheme="majorEastAsia" w:cs="宋体" w:hint="eastAsia"/>
          <w:color w:val="000000"/>
          <w:kern w:val="0"/>
          <w:sz w:val="44"/>
          <w:szCs w:val="44"/>
        </w:rPr>
        <w:t>实施细则</w:t>
      </w:r>
    </w:p>
    <w:p w:rsidR="00F114DA" w:rsidRPr="004A762C" w:rsidRDefault="004A762C" w:rsidP="004A762C">
      <w:pPr>
        <w:widowControl/>
        <w:adjustRightInd w:val="0"/>
        <w:snapToGrid w:val="0"/>
        <w:spacing w:beforeLines="50" w:before="156" w:afterLines="50" w:after="156" w:line="600" w:lineRule="exact"/>
        <w:jc w:val="center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4A762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</w:t>
      </w:r>
      <w:r w:rsidR="003008D4" w:rsidRPr="004A762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2017年3月20日所务会通过</w:t>
      </w:r>
      <w:r w:rsidRPr="004A762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</w:t>
      </w:r>
    </w:p>
    <w:p w:rsidR="003008D4" w:rsidRDefault="003008D4" w:rsidP="00630AD9">
      <w:pPr>
        <w:widowControl/>
        <w:adjustRightInd w:val="0"/>
        <w:snapToGrid w:val="0"/>
        <w:spacing w:beforeLines="50" w:before="156" w:afterLines="50" w:after="156" w:line="560" w:lineRule="exact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28"/>
          <w:szCs w:val="28"/>
        </w:rPr>
      </w:pPr>
    </w:p>
    <w:p w:rsidR="00FB4F26" w:rsidRPr="003008D4" w:rsidRDefault="00A2287C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 xml:space="preserve">第一章 </w:t>
      </w:r>
      <w:r w:rsidR="00FB4F26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 xml:space="preserve">总则 </w:t>
      </w:r>
    </w:p>
    <w:p w:rsidR="00F114DA" w:rsidRPr="003008D4" w:rsidRDefault="00C26E0A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kern w:val="0"/>
          <w:sz w:val="32"/>
          <w:szCs w:val="32"/>
        </w:rPr>
        <w:t>一</w:t>
      </w:r>
      <w:r w:rsidRPr="003008D4">
        <w:rPr>
          <w:rFonts w:ascii="仿宋" w:eastAsia="仿宋" w:hAnsi="仿宋" w:cs="宋体" w:hint="eastAsia"/>
          <w:b/>
          <w:kern w:val="0"/>
          <w:sz w:val="32"/>
          <w:szCs w:val="32"/>
        </w:rPr>
        <w:t>条</w:t>
      </w:r>
      <w:r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为规范</w:t>
      </w:r>
      <w:r w:rsidR="00054808"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我所</w:t>
      </w:r>
      <w:r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因公临时出国（境）经费管理，加强预算监督，提高资金使用效益，保证国际合作工作的顺利开展，</w:t>
      </w:r>
      <w:r w:rsidR="00A2287C"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根据</w:t>
      </w:r>
      <w:r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外交部、财政部《因公临时出国经费管理办法》（财行〔2013〕516号）、《党政机关厉行节约反对浪费条例》</w:t>
      </w:r>
      <w:r w:rsidR="00EE5C87"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、《中国农业科学院因公临时出国（境）经费实施细则》</w:t>
      </w:r>
      <w:r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等</w:t>
      </w:r>
      <w:r w:rsidR="000C0ED4"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相关规定</w:t>
      </w:r>
      <w:r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，并结合我</w:t>
      </w:r>
      <w:r w:rsidR="00054808"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所</w:t>
      </w:r>
      <w:r w:rsidR="00A2287C"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因公临时出国（境）</w:t>
      </w:r>
      <w:r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工作实际，特制定本细则。</w:t>
      </w:r>
    </w:p>
    <w:p w:rsidR="007F31C7" w:rsidRPr="003008D4" w:rsidRDefault="00646D33" w:rsidP="003008D4">
      <w:pPr>
        <w:widowControl/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</w:t>
      </w: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本</w:t>
      </w:r>
      <w:r w:rsidR="00207EC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细则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适用于</w:t>
      </w:r>
      <w:r w:rsidR="00EE5C8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我所</w:t>
      </w:r>
      <w:r w:rsidR="00207EC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因公临时出国</w:t>
      </w:r>
      <w:r w:rsidR="00A2287C" w:rsidRPr="003008D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（境）</w:t>
      </w:r>
      <w:r w:rsidR="00207EC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人员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A7293B" w:rsidRPr="003008D4" w:rsidRDefault="00646D33" w:rsidP="003008D4">
      <w:pPr>
        <w:widowControl/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</w:t>
      </w: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="00A7293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因公临时出国</w:t>
      </w:r>
      <w:r w:rsidR="00F3021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（境）</w:t>
      </w:r>
      <w:r w:rsidR="003C2FE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</w:t>
      </w:r>
      <w:r w:rsidR="00A7293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费是指</w:t>
      </w:r>
      <w:r w:rsidR="00207EC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因公临时出国人员</w:t>
      </w:r>
      <w:r w:rsidR="00A7293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所发生的</w:t>
      </w:r>
      <w:r w:rsidR="000F5CB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国际旅费、国外城市间交通费、住宿费、伙食费、公杂费</w:t>
      </w:r>
      <w:r w:rsidR="003C2FE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</w:t>
      </w:r>
      <w:r w:rsidR="000F5CB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其他费用</w:t>
      </w:r>
      <w:r w:rsidR="00B55F8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FD31F7" w:rsidRDefault="00646D33" w:rsidP="003008D4">
      <w:pPr>
        <w:widowControl/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</w:t>
      </w: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="0012478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因公临时出国</w:t>
      </w:r>
      <w:r w:rsidR="00F3021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（境）</w:t>
      </w:r>
      <w:r w:rsidR="006C0F8F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</w:t>
      </w:r>
      <w:r w:rsidR="0012478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费</w:t>
      </w:r>
      <w:r w:rsidR="00E7561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标准执行外交部</w:t>
      </w:r>
      <w:r w:rsidR="00077E3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E7561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财政部</w:t>
      </w:r>
      <w:r w:rsidR="000F5CB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</w:t>
      </w:r>
      <w:r w:rsidR="00E7561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不同国家和地区制定的</w:t>
      </w:r>
      <w:r w:rsidR="002D54E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</w:t>
      </w:r>
      <w:r w:rsidR="000F5CB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差</w:t>
      </w:r>
      <w:r w:rsidR="00E7561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旅费标准</w:t>
      </w:r>
      <w:r w:rsidR="00207EC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（见附件）</w:t>
      </w:r>
      <w:r w:rsidR="00A23BAC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054808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出国人员</w:t>
      </w:r>
      <w:r w:rsidR="00077E3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E730F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严格执行各项经费开支标准，不得擅自突破。</w:t>
      </w:r>
    </w:p>
    <w:p w:rsidR="007C1CB9" w:rsidRPr="003008D4" w:rsidRDefault="007C1CB9" w:rsidP="003008D4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F9174B" w:rsidRPr="003008D4" w:rsidRDefault="00F9174B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 xml:space="preserve">第二章 </w:t>
      </w:r>
      <w:r w:rsidR="0046287F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经费</w:t>
      </w: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管理</w:t>
      </w:r>
      <w:r w:rsidR="0046287F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原则</w:t>
      </w:r>
    </w:p>
    <w:p w:rsidR="00F9174B" w:rsidRPr="003008D4" w:rsidRDefault="007236AB" w:rsidP="003008D4">
      <w:pPr>
        <w:widowControl/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五</w:t>
      </w:r>
      <w:r w:rsidR="00F9174B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="00F9174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因公临时出国</w:t>
      </w:r>
      <w:r w:rsidR="00F3021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（境）</w:t>
      </w:r>
      <w:r w:rsidR="00F9174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经费应全部纳入预算管理，</w:t>
      </w:r>
      <w:r w:rsidR="009B2B3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建立健全因公临时出国预算管理、计划管理和审批制度。</w:t>
      </w:r>
      <w:bookmarkStart w:id="0" w:name="_GoBack"/>
      <w:bookmarkEnd w:id="0"/>
    </w:p>
    <w:p w:rsidR="00F9174B" w:rsidRPr="003008D4" w:rsidRDefault="00F9174B" w:rsidP="003008D4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（一）</w:t>
      </w:r>
      <w:r w:rsidR="0095712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国际合作</w:t>
      </w:r>
      <w:r w:rsidR="009B2B3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</w:t>
      </w:r>
      <w:r w:rsidR="000C0ED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研究生管理处</w:t>
      </w:r>
      <w:r w:rsidR="00A2287C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配合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</w:t>
      </w:r>
      <w:r w:rsidR="00C27A4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务</w:t>
      </w:r>
      <w:r w:rsidR="000C0ED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</w:t>
      </w:r>
      <w:r w:rsidR="009B2B3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3810D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根据各类项目</w:t>
      </w:r>
      <w:r w:rsidR="00743A8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、经费</w:t>
      </w:r>
      <w:r w:rsidR="003810D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来源的要求制定年度因公出国</w:t>
      </w:r>
      <w:r w:rsidR="003810D9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（境）</w:t>
      </w:r>
      <w:r w:rsidR="003810D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团组计划和出国（境）经费使用计划。</w:t>
      </w:r>
    </w:p>
    <w:p w:rsidR="003810D9" w:rsidRPr="003008D4" w:rsidRDefault="003810D9" w:rsidP="003008D4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r w:rsidR="009045B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财务</w:t>
      </w:r>
      <w:r w:rsidR="007B57B3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</w:t>
      </w:r>
      <w:r w:rsidR="009045B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应切实加强因公临时出国（境）经费预算管理，遵守因公临时出国（境）经费先行</w:t>
      </w:r>
      <w:r w:rsidR="00743A8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9045B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审核制度</w:t>
      </w:r>
      <w:r w:rsidR="00743A8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因公临时出国</w:t>
      </w:r>
      <w:r w:rsidR="002D04AF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（境）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应事先填报《因公临时出国任务和预算审批意见表》，由</w:t>
      </w:r>
      <w:r w:rsidR="00085A62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主管所领导、</w:t>
      </w:r>
      <w:r w:rsidR="007B57B3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国际合作与研究生管理处和财务处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分别出具审签意见</w:t>
      </w:r>
      <w:r w:rsidR="00743A8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9045B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对无出国（境）经费预算安排的团组，一律不得出具经费审核意见。</w:t>
      </w:r>
    </w:p>
    <w:p w:rsidR="009045B9" w:rsidRDefault="00743A8B" w:rsidP="003008D4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61597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9045B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加强对因公临时出国（境）团组的经费报销管理，严格按照批准的团组人员、天数、路线、经费计划及开支标准核销，不得核销与出访任务无关和计划外的开支，不得核销虚假费用单据。</w:t>
      </w:r>
    </w:p>
    <w:p w:rsidR="007C1CB9" w:rsidRPr="003008D4" w:rsidRDefault="007C1CB9" w:rsidP="003008D4">
      <w:pPr>
        <w:widowControl/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7F31C7" w:rsidRPr="003008D4" w:rsidRDefault="00646D33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第</w:t>
      </w:r>
      <w:r w:rsidR="007236AB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三</w:t>
      </w: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 xml:space="preserve">章　</w:t>
      </w:r>
      <w:r w:rsidR="00BE1673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国际旅费</w:t>
      </w:r>
      <w:r w:rsidR="008C79F6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与城市间交通费</w:t>
      </w:r>
    </w:p>
    <w:p w:rsidR="008C79F6" w:rsidRPr="003008D4" w:rsidRDefault="00A07698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</w:t>
      </w: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BC240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BE1673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国际旅费是指出境口岸至入境口岸旅费</w:t>
      </w:r>
      <w:r w:rsidR="00E730F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国外</w:t>
      </w:r>
      <w:r w:rsidR="00F3021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（境外）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城市间交通费是指为完成工作任务所必须发生的</w:t>
      </w:r>
      <w:r w:rsidR="00E730F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在出访国家的城市与城市之间</w:t>
      </w:r>
      <w:r w:rsidR="00E730F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发生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的交通费用。</w:t>
      </w:r>
    </w:p>
    <w:p w:rsidR="008C79F6" w:rsidRPr="003008D4" w:rsidRDefault="008C79F6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七</w:t>
      </w: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CD1DB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国际旅费按照下列规定执行：</w:t>
      </w:r>
    </w:p>
    <w:p w:rsidR="00F114DA" w:rsidRPr="003008D4" w:rsidRDefault="008C79F6" w:rsidP="003008D4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kern w:val="0"/>
          <w:sz w:val="32"/>
          <w:szCs w:val="32"/>
        </w:rPr>
        <w:t>出国人员应当按规定等级乘坐交通工具。</w:t>
      </w:r>
      <w:r w:rsidR="00C24F6D" w:rsidRPr="003008D4">
        <w:rPr>
          <w:rFonts w:ascii="仿宋" w:eastAsia="仿宋" w:hAnsi="仿宋" w:cs="宋体" w:hint="eastAsia"/>
          <w:kern w:val="0"/>
          <w:sz w:val="32"/>
          <w:szCs w:val="32"/>
        </w:rPr>
        <w:t>院士可以乘坐飞机头等舱、轮船一等舱、火车高级软卧或全列软席列车的商务座；</w:t>
      </w:r>
      <w:r w:rsidR="000325E4" w:rsidRPr="003008D4">
        <w:rPr>
          <w:rFonts w:ascii="仿宋" w:eastAsia="仿宋" w:hAnsi="仿宋" w:cs="宋体" w:hint="eastAsia"/>
          <w:kern w:val="0"/>
          <w:sz w:val="32"/>
          <w:szCs w:val="32"/>
        </w:rPr>
        <w:t>正所（局）</w:t>
      </w:r>
      <w:r w:rsidR="00C24F6D" w:rsidRPr="003008D4">
        <w:rPr>
          <w:rFonts w:ascii="仿宋" w:eastAsia="仿宋" w:hAnsi="仿宋" w:cs="宋体" w:hint="eastAsia"/>
          <w:kern w:val="0"/>
          <w:sz w:val="32"/>
          <w:szCs w:val="32"/>
        </w:rPr>
        <w:t>级</w:t>
      </w:r>
      <w:r w:rsidR="00952A74" w:rsidRPr="003008D4">
        <w:rPr>
          <w:rFonts w:ascii="仿宋" w:eastAsia="仿宋" w:hAnsi="仿宋" w:cs="宋体" w:hint="eastAsia"/>
          <w:kern w:val="0"/>
          <w:sz w:val="32"/>
          <w:szCs w:val="32"/>
        </w:rPr>
        <w:t>人员</w:t>
      </w:r>
      <w:r w:rsidR="00F114DA" w:rsidRPr="003008D4">
        <w:rPr>
          <w:rFonts w:ascii="仿宋" w:eastAsia="仿宋" w:hAnsi="仿宋" w:cs="宋体" w:hint="eastAsia"/>
          <w:kern w:val="0"/>
          <w:sz w:val="32"/>
          <w:szCs w:val="32"/>
        </w:rPr>
        <w:t>、二级</w:t>
      </w:r>
      <w:r w:rsidR="00C26E0A" w:rsidRPr="003008D4">
        <w:rPr>
          <w:rFonts w:ascii="仿宋" w:eastAsia="仿宋" w:hAnsi="仿宋" w:cs="宋体" w:hint="eastAsia"/>
          <w:kern w:val="0"/>
          <w:sz w:val="32"/>
          <w:szCs w:val="32"/>
        </w:rPr>
        <w:t>及</w:t>
      </w:r>
      <w:r w:rsidR="00F114DA" w:rsidRPr="003008D4">
        <w:rPr>
          <w:rFonts w:ascii="仿宋" w:eastAsia="仿宋" w:hAnsi="仿宋" w:cs="宋体" w:hint="eastAsia"/>
          <w:kern w:val="0"/>
          <w:sz w:val="32"/>
          <w:szCs w:val="32"/>
        </w:rPr>
        <w:t>以上</w:t>
      </w:r>
      <w:r w:rsidR="00992CA6" w:rsidRPr="003008D4">
        <w:rPr>
          <w:rFonts w:ascii="仿宋" w:eastAsia="仿宋" w:hAnsi="仿宋" w:cs="宋体" w:hint="eastAsia"/>
          <w:kern w:val="0"/>
          <w:sz w:val="32"/>
          <w:szCs w:val="32"/>
        </w:rPr>
        <w:t>正高级</w:t>
      </w:r>
      <w:r w:rsidR="00F114DA" w:rsidRPr="003008D4">
        <w:rPr>
          <w:rFonts w:ascii="仿宋" w:eastAsia="仿宋" w:hAnsi="仿宋" w:cs="宋体" w:hint="eastAsia"/>
          <w:kern w:val="0"/>
          <w:sz w:val="32"/>
          <w:szCs w:val="32"/>
        </w:rPr>
        <w:t>研究员</w:t>
      </w:r>
      <w:r w:rsidR="00C24F6D" w:rsidRPr="003008D4">
        <w:rPr>
          <w:rFonts w:ascii="仿宋" w:eastAsia="仿宋" w:hAnsi="仿宋" w:cs="宋体" w:hint="eastAsia"/>
          <w:kern w:val="0"/>
          <w:sz w:val="32"/>
          <w:szCs w:val="32"/>
        </w:rPr>
        <w:t>可以乘坐飞机公务舱、轮船二等舱、火车软卧或全列软席列车的一等座；</w:t>
      </w:r>
      <w:r w:rsidR="00AE3E1E" w:rsidRPr="003008D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其他</w:t>
      </w:r>
      <w:r w:rsidR="0062180F" w:rsidRPr="003008D4">
        <w:rPr>
          <w:rFonts w:ascii="仿宋" w:eastAsia="仿宋" w:hAnsi="仿宋" w:cs="宋体" w:hint="eastAsia"/>
          <w:kern w:val="0"/>
          <w:sz w:val="32"/>
          <w:szCs w:val="32"/>
        </w:rPr>
        <w:t>人员</w:t>
      </w:r>
      <w:r w:rsidR="00C24F6D" w:rsidRPr="003008D4">
        <w:rPr>
          <w:rFonts w:ascii="仿宋" w:eastAsia="仿宋" w:hAnsi="仿宋" w:cs="宋体" w:hint="eastAsia"/>
          <w:kern w:val="0"/>
          <w:sz w:val="32"/>
          <w:szCs w:val="32"/>
        </w:rPr>
        <w:t>正高级研究</w:t>
      </w:r>
      <w:r w:rsidR="00F30214" w:rsidRPr="003008D4">
        <w:rPr>
          <w:rFonts w:ascii="仿宋" w:eastAsia="仿宋" w:hAnsi="仿宋" w:cs="宋体" w:hint="eastAsia"/>
          <w:kern w:val="0"/>
          <w:sz w:val="32"/>
          <w:szCs w:val="32"/>
        </w:rPr>
        <w:t>人</w:t>
      </w:r>
      <w:r w:rsidR="00C24F6D" w:rsidRPr="003008D4">
        <w:rPr>
          <w:rFonts w:ascii="仿宋" w:eastAsia="仿宋" w:hAnsi="仿宋" w:cs="宋体" w:hint="eastAsia"/>
          <w:kern w:val="0"/>
          <w:sz w:val="32"/>
          <w:szCs w:val="32"/>
        </w:rPr>
        <w:t>员可以乘</w:t>
      </w:r>
      <w:r w:rsidR="00957126" w:rsidRPr="003008D4">
        <w:rPr>
          <w:rFonts w:ascii="仿宋" w:eastAsia="仿宋" w:hAnsi="仿宋" w:cs="宋体" w:hint="eastAsia"/>
          <w:kern w:val="0"/>
          <w:sz w:val="32"/>
          <w:szCs w:val="32"/>
        </w:rPr>
        <w:t>坐飞机经济舱、</w:t>
      </w:r>
      <w:r w:rsidR="00C26E0A" w:rsidRPr="003008D4">
        <w:rPr>
          <w:rFonts w:ascii="仿宋" w:eastAsia="仿宋" w:hAnsi="仿宋" w:cs="宋体" w:hint="eastAsia"/>
          <w:kern w:val="0"/>
          <w:sz w:val="32"/>
          <w:szCs w:val="32"/>
        </w:rPr>
        <w:t>轮船二等舱</w:t>
      </w:r>
      <w:r w:rsidR="005838A6" w:rsidRPr="003008D4">
        <w:rPr>
          <w:rFonts w:ascii="仿宋" w:eastAsia="仿宋" w:hAnsi="仿宋" w:cs="宋体" w:hint="eastAsia"/>
          <w:kern w:val="0"/>
          <w:sz w:val="32"/>
          <w:szCs w:val="32"/>
        </w:rPr>
        <w:t>、火车软卧或全列软席列车的一等座；</w:t>
      </w:r>
      <w:r w:rsidR="00C24F6D" w:rsidRPr="003008D4">
        <w:rPr>
          <w:rFonts w:ascii="仿宋" w:eastAsia="仿宋" w:hAnsi="仿宋" w:cs="宋体" w:hint="eastAsia"/>
          <w:kern w:val="0"/>
          <w:sz w:val="32"/>
          <w:szCs w:val="32"/>
        </w:rPr>
        <w:t>其他人员均乘坐飞机经济舱、轮船三等舱、火车硬卧</w:t>
      </w:r>
      <w:r w:rsidR="00F114DA" w:rsidRPr="003008D4">
        <w:rPr>
          <w:rFonts w:ascii="仿宋" w:eastAsia="仿宋" w:hAnsi="仿宋" w:cs="宋体" w:hint="eastAsia"/>
          <w:kern w:val="0"/>
          <w:sz w:val="32"/>
          <w:szCs w:val="32"/>
        </w:rPr>
        <w:t>或全列软席列车的二等座。所乘交通工具舱位等级划分与以上不一致的，可乘坐同等水平的舱位。所乘交通工具未设置上述规定中本级别人员可乘坐舱位等级的，应乘坐低一等级舱位。上述人员发生的国际旅费据实报销。</w:t>
      </w:r>
    </w:p>
    <w:p w:rsidR="008C79F6" w:rsidRPr="003008D4" w:rsidRDefault="00A07698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八</w:t>
      </w:r>
      <w:r w:rsidR="008C79F6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="00BC2405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出国人员应当优先选择由我国航空公司运营的国际航线，由于航班衔接等原因确需选择外国航空公司航线的，应事先</w:t>
      </w:r>
      <w:r w:rsidR="009A750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填写《乘坐非国内航空公司航班和改变中转地审批表》</w:t>
      </w:r>
      <w:r w:rsidR="00683D8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，由</w:t>
      </w:r>
      <w:r w:rsidR="004F6898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国际合作与研究生管理处和财务处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批准。</w:t>
      </w:r>
    </w:p>
    <w:p w:rsidR="008C79F6" w:rsidRPr="003008D4" w:rsidRDefault="00A07698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九</w:t>
      </w:r>
      <w:r w:rsidR="008C79F6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="00920BF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出国人员乘坐国际列车，国内段按国内差旅费的有关规定执行；国外段超过6小时以上的按自然（日历）天数计算，每人每天补助12美元。</w:t>
      </w:r>
    </w:p>
    <w:p w:rsidR="00920BF4" w:rsidRDefault="00A07698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十</w:t>
      </w:r>
      <w:r w:rsidR="008C79F6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BC240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根据出国</w:t>
      </w:r>
      <w:r w:rsidR="00F3021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（境）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任务需要在一个国家城市间往来的，应事先在</w:t>
      </w:r>
      <w:r w:rsidR="00611663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出访日程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中列明，报</w:t>
      </w:r>
      <w:r w:rsidR="004F6898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国际合作与研究生管理处和财务处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批准。未经批准的，不得在国外城市间往来。出国人员旅程须按照计划执行，购买往返联程机票时应尽量将城市间</w:t>
      </w:r>
      <w:r w:rsidR="00C8655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往来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包含在飞行行程中，城市间交通费凭有效原始票据据实报销。</w:t>
      </w:r>
    </w:p>
    <w:p w:rsidR="007C1CB9" w:rsidRPr="003008D4" w:rsidRDefault="007C1CB9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8C79F6" w:rsidRPr="003008D4" w:rsidRDefault="008C79F6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第</w:t>
      </w:r>
      <w:r w:rsidR="00E96870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四</w:t>
      </w: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章　住宿费</w:t>
      </w:r>
    </w:p>
    <w:p w:rsidR="008C79F6" w:rsidRPr="003008D4" w:rsidRDefault="008C79F6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</w:t>
      </w: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="008A1DAA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住宿费是指出国人员在国</w:t>
      </w:r>
      <w:r w:rsidR="00AE3D0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（境）</w:t>
      </w:r>
      <w:r w:rsidR="008A1DAA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外发生的住宿费用。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因公出国住宿费按照下列规定执行：</w:t>
      </w:r>
    </w:p>
    <w:p w:rsidR="008C79F6" w:rsidRPr="003008D4" w:rsidRDefault="009D17D4" w:rsidP="003008D4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（一）出国人员应严格按照规定安排住宿，院士</w:t>
      </w:r>
      <w:r w:rsidR="008C79F6" w:rsidRPr="003008D4">
        <w:rPr>
          <w:rFonts w:ascii="仿宋" w:eastAsia="仿宋" w:hAnsi="仿宋" w:cs="宋体" w:hint="eastAsia"/>
          <w:kern w:val="0"/>
          <w:sz w:val="32"/>
          <w:szCs w:val="32"/>
        </w:rPr>
        <w:t>可安排普通套房，住宿费根据实际住宿天数据实报销；</w:t>
      </w:r>
      <w:r w:rsidR="00C26E0A" w:rsidRPr="003008D4">
        <w:rPr>
          <w:rFonts w:ascii="仿宋" w:eastAsia="仿宋" w:hAnsi="仿宋" w:cs="宋体" w:hint="eastAsia"/>
          <w:kern w:val="0"/>
          <w:sz w:val="32"/>
          <w:szCs w:val="32"/>
        </w:rPr>
        <w:t>其他</w:t>
      </w:r>
      <w:r w:rsidR="008C79F6" w:rsidRPr="003008D4">
        <w:rPr>
          <w:rFonts w:ascii="仿宋" w:eastAsia="仿宋" w:hAnsi="仿宋" w:cs="宋体" w:hint="eastAsia"/>
          <w:kern w:val="0"/>
          <w:sz w:val="32"/>
          <w:szCs w:val="32"/>
        </w:rPr>
        <w:t>人员安排标准间，在国家规定的住宿费标准内按实际住宿天数予以报销。</w:t>
      </w:r>
    </w:p>
    <w:p w:rsidR="00FD31F7" w:rsidRPr="003008D4" w:rsidRDefault="008C79F6" w:rsidP="003008D4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（二）参加国际会议等的出国人员，原则上应当按照住宿费标准执行。如对方组织单位指定或推荐酒店，应当严格把关，通过询价方式从紧安排，超出费用标准的，须事先报经</w:t>
      </w:r>
      <w:r w:rsidR="00EE028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国际合作与研究生管理处和财务处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批准。经批准，住宿费可据实报销。</w:t>
      </w:r>
    </w:p>
    <w:p w:rsidR="007C1CB9" w:rsidRDefault="007C1CB9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</w:p>
    <w:p w:rsidR="008C79F6" w:rsidRPr="003008D4" w:rsidRDefault="008C79F6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第</w:t>
      </w:r>
      <w:r w:rsidR="00E96870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五</w:t>
      </w: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章 伙食费和公杂费</w:t>
      </w:r>
    </w:p>
    <w:p w:rsidR="008C79F6" w:rsidRPr="003008D4" w:rsidRDefault="00A07698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二</w:t>
      </w:r>
      <w:r w:rsidR="008C79F6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="008A1DAA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伙食费是指出国人员在国</w:t>
      </w:r>
      <w:r w:rsidR="00AE3D0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（境）</w:t>
      </w:r>
      <w:r w:rsidR="008A1DAA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外期间的日常伙食费用。公杂费是指出国人员在国外期间的市内交通、邮电、办公用品、必要的小费等费用。</w:t>
      </w:r>
    </w:p>
    <w:p w:rsidR="00853792" w:rsidRPr="003008D4" w:rsidRDefault="00A07698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三</w:t>
      </w:r>
      <w:r w:rsidR="008C79F6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="003415AC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出国人员伙食费、公杂费可以按规定的标准发给个人包干使用。包干天数按离、抵我国国境之日计算。</w:t>
      </w:r>
      <w:r w:rsidR="007236AB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根据工作需要和特点，不宜个人包干的出访团组，其伙食费和公杂费由出访团组统一掌握，包干使用。</w:t>
      </w:r>
    </w:p>
    <w:p w:rsidR="008C79F6" w:rsidRPr="003008D4" w:rsidRDefault="00BC54B0" w:rsidP="003008D4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出访团组或出国人员被</w:t>
      </w:r>
      <w:r w:rsidR="0012478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外方以现金或实物形式提供伙食费和公杂费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方式接待，</w:t>
      </w:r>
      <w:r w:rsidR="0012478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不再领取伙食费和公杂费。</w:t>
      </w:r>
    </w:p>
    <w:p w:rsidR="00A07698" w:rsidRPr="003008D4" w:rsidRDefault="00F85653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A07698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十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四</w:t>
      </w:r>
      <w:r w:rsidR="008C79F6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伙食费和公杂费</w:t>
      </w:r>
      <w:r w:rsidR="00C8655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外交部</w:t>
      </w:r>
      <w:r w:rsidR="00C8655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财政部分不同国家和地区制定的标准执行。</w:t>
      </w:r>
    </w:p>
    <w:p w:rsidR="007C1CB9" w:rsidRDefault="007C1CB9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</w:p>
    <w:p w:rsidR="00F114DA" w:rsidRPr="003008D4" w:rsidRDefault="008C79F6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第</w:t>
      </w:r>
      <w:r w:rsidR="00E96870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六</w:t>
      </w:r>
      <w:r w:rsidR="00AF5DA9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章</w:t>
      </w: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 xml:space="preserve"> </w:t>
      </w:r>
      <w:r w:rsidR="00F5636E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其他费用</w:t>
      </w:r>
    </w:p>
    <w:p w:rsidR="008C79F6" w:rsidRPr="003008D4" w:rsidRDefault="00F53B10" w:rsidP="003008D4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五</w:t>
      </w:r>
      <w:r w:rsidR="00A07698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="00A07698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BC240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8C79F6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其他费用主要是指出国宴请费、礼品费、出国签证费用、必需的保险费用、防疫费用、国际会议注册费用等。</w:t>
      </w:r>
    </w:p>
    <w:p w:rsidR="00853792" w:rsidRPr="003008D4" w:rsidRDefault="00F85653" w:rsidP="003008D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lastRenderedPageBreak/>
        <w:t>第</w:t>
      </w:r>
      <w:r w:rsidR="00D6166D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十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六</w:t>
      </w:r>
      <w:r w:rsidR="00193255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="00AF5DA9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AF5DA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930930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</w:t>
      </w:r>
      <w:r w:rsidR="00FC138D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访</w:t>
      </w:r>
      <w:r w:rsidR="00AF5DA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团组对外原则上不搞宴请，确需宴请的</w:t>
      </w:r>
      <w:r w:rsidR="00F5636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，应连同出国计划一并报批，</w:t>
      </w:r>
      <w:r w:rsidR="00AF5DA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宴请标准按照所在国家一人一天的伙食费标准掌握，凭有效票据在标准内据实报销。</w:t>
      </w:r>
    </w:p>
    <w:p w:rsidR="00AF5DA9" w:rsidRPr="003008D4" w:rsidRDefault="00AF5DA9" w:rsidP="003008D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出访团组与我国驻外使领馆等外交机构和其他中资机构、企业之间一律不得用公款相互宴请。</w:t>
      </w:r>
    </w:p>
    <w:p w:rsidR="002919A2" w:rsidRPr="003008D4" w:rsidRDefault="00F53B10" w:rsidP="003008D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第十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七</w:t>
      </w:r>
      <w:r w:rsidR="00F5636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="00F5636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BC240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AF5DA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出访团组在国外期间，收授礼品应当严格按有关规定执行</w:t>
      </w:r>
      <w:r w:rsidR="00930930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。原则上不对外赠送礼品，确有必要赠送的，应当事先报</w:t>
      </w:r>
      <w:r w:rsidR="00EE028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国际合作与研究生管理处和财务处</w:t>
      </w:r>
      <w:r w:rsidR="00AF5DA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批准。报批时应明确赠送礼品的数量、受赠者的姓名、职务及所属组织。对外赠礼</w:t>
      </w:r>
      <w:r w:rsidR="00853792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AF5DA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赠礼方或受礼方级别较高一方的级别确定赠礼标准。赠礼方或受礼方为正、副部长级别人员的，每人次礼品不得超过400元人民币；赠礼方或受礼方为司局级人员的，每人次礼品不得超过200元人民币；其他人员，可视情况赠送小纪念品</w:t>
      </w:r>
      <w:r w:rsidR="002919A2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每人次不得超过150元</w:t>
      </w:r>
      <w:r w:rsidR="00AF5DA9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2919A2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礼品应当尽量选择具有中国特色</w:t>
      </w:r>
      <w:r w:rsidR="00FC138D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传统工艺品</w:t>
      </w:r>
      <w:r w:rsidR="002919A2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</w:t>
      </w:r>
      <w:r w:rsidR="00FC138D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能够宣传</w:t>
      </w:r>
      <w:r w:rsidR="002919A2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我院</w:t>
      </w:r>
      <w:r w:rsidR="00FC138D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科技成果</w:t>
      </w:r>
      <w:r w:rsidR="002919A2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特色的纪念品。</w:t>
      </w:r>
    </w:p>
    <w:p w:rsidR="00AF5DA9" w:rsidRPr="003008D4" w:rsidRDefault="00AF5DA9" w:rsidP="003008D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出访团组与我国驻外使领馆等外交机构和其他中资机构、企业之间一律不得以任何名义、任何方式互赠礼品或纪念品。</w:t>
      </w:r>
    </w:p>
    <w:p w:rsidR="00920BF4" w:rsidRPr="003008D4" w:rsidRDefault="00193255" w:rsidP="003008D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</w:t>
      </w:r>
      <w:r w:rsidR="00D6166D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十</w:t>
      </w:r>
      <w:r w:rsidR="00521A9E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八</w:t>
      </w: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BC2405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B55F8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出国人员的</w:t>
      </w:r>
      <w:r w:rsidR="00683D8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护照办理费用、</w:t>
      </w:r>
      <w:r w:rsidR="00B55F8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出国签证费用、防疫费用、国际会议注册费用等，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凭有效原始票据据实报销。</w:t>
      </w:r>
      <w:r w:rsidR="003415AC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必需的保险费用根据到访国要求，出国人员必须购买保险的，应当事先报经</w:t>
      </w:r>
      <w:r w:rsidR="00EE0287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国际合作与研究生管理处和财务处</w:t>
      </w:r>
      <w:r w:rsidR="003415AC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批准后，按照到访国驻华使领馆要求购买，凭有效原始票据据实报销。</w:t>
      </w:r>
      <w:bookmarkStart w:id="1" w:name="OLE_LINK21"/>
    </w:p>
    <w:p w:rsidR="007C1CB9" w:rsidRDefault="007C1CB9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</w:p>
    <w:p w:rsidR="00F114DA" w:rsidRPr="003008D4" w:rsidRDefault="00646D33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lastRenderedPageBreak/>
        <w:t>第</w:t>
      </w:r>
      <w:r w:rsidR="00E96870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七</w:t>
      </w: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 xml:space="preserve">章　</w:t>
      </w:r>
      <w:r w:rsidR="00B86556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费用核销</w:t>
      </w:r>
    </w:p>
    <w:p w:rsidR="007F31C7" w:rsidRPr="003008D4" w:rsidRDefault="001D6601" w:rsidP="003008D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hint="eastAsia"/>
          <w:b/>
          <w:bCs/>
          <w:sz w:val="32"/>
          <w:szCs w:val="32"/>
        </w:rPr>
        <w:t>第</w:t>
      </w:r>
      <w:r w:rsidR="00A07698" w:rsidRPr="003008D4">
        <w:rPr>
          <w:rFonts w:ascii="仿宋" w:eastAsia="仿宋" w:hAnsi="仿宋" w:hint="eastAsia"/>
          <w:b/>
          <w:bCs/>
          <w:sz w:val="32"/>
          <w:szCs w:val="32"/>
        </w:rPr>
        <w:t>十</w:t>
      </w:r>
      <w:r w:rsidR="00521A9E" w:rsidRPr="003008D4">
        <w:rPr>
          <w:rFonts w:ascii="仿宋" w:eastAsia="仿宋" w:hAnsi="仿宋" w:hint="eastAsia"/>
          <w:b/>
          <w:bCs/>
          <w:sz w:val="32"/>
          <w:szCs w:val="32"/>
        </w:rPr>
        <w:t>九</w:t>
      </w:r>
      <w:r w:rsidRPr="003008D4">
        <w:rPr>
          <w:rFonts w:ascii="仿宋" w:eastAsia="仿宋" w:hAnsi="仿宋" w:hint="eastAsia"/>
          <w:b/>
          <w:bCs/>
          <w:sz w:val="32"/>
          <w:szCs w:val="32"/>
        </w:rPr>
        <w:t>条</w:t>
      </w:r>
      <w:bookmarkEnd w:id="1"/>
      <w:r w:rsidR="00646D33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</w:t>
      </w:r>
      <w:r w:rsidR="00F85653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出国</w:t>
      </w:r>
      <w:r w:rsidR="00646D33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人员应当严格按规定开支</w:t>
      </w:r>
      <w:r w:rsidR="00F85653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</w:t>
      </w:r>
      <w:r w:rsidR="00646D33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差旅费，费用由所在单位承担，不得向下级单位、企业或其他单位转嫁。</w:t>
      </w:r>
    </w:p>
    <w:p w:rsidR="00E65CAE" w:rsidRPr="003008D4" w:rsidRDefault="00F85653" w:rsidP="003008D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第二十</w:t>
      </w:r>
      <w:r w:rsidR="00E65CAE" w:rsidRPr="003008D4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="00E65CAE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出国人员应在回国后15个工作日内到财务</w:t>
      </w:r>
      <w:r w:rsidR="008D72BA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处</w:t>
      </w:r>
      <w:r w:rsidR="00E65CAE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一次性核销全部出国费用。核销费用时需提供以下材料：</w:t>
      </w:r>
    </w:p>
    <w:p w:rsidR="00E65CAE" w:rsidRPr="003008D4" w:rsidRDefault="00F85653" w:rsidP="003008D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（一）</w:t>
      </w:r>
      <w:r w:rsidR="00364048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填写《</w:t>
      </w:r>
      <w:r w:rsidR="00905171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中国农业科学院植物保护研究所出国报销表</w:t>
      </w:r>
      <w:r w:rsidR="00364048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》</w:t>
      </w:r>
      <w:r w:rsidR="00905171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，并由经办人、研究组长、国际合作与研究生管理处、所领导签字审核</w:t>
      </w:r>
      <w:r w:rsidR="00630AD9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E65CAE" w:rsidRPr="003008D4" w:rsidRDefault="00F85653" w:rsidP="003008D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（二）</w:t>
      </w:r>
      <w:r w:rsidR="00E65CAE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出国团组成员的护照复印件（包括基本信息页、我国和到访国出入境记录）</w:t>
      </w:r>
      <w:r w:rsidR="00630AD9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E65CAE" w:rsidRPr="003008D4" w:rsidRDefault="00F85653" w:rsidP="003008D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（三）</w:t>
      </w:r>
      <w:r w:rsidR="004A3334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出国任务批件、</w:t>
      </w:r>
      <w:r w:rsidR="008C35AF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机票</w:t>
      </w:r>
      <w:r w:rsidR="007D7423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行程单</w:t>
      </w:r>
      <w:r w:rsidR="003B1E48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、</w:t>
      </w:r>
      <w:r w:rsidR="007D7423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登机牌、</w:t>
      </w:r>
      <w:r w:rsidR="00E65CAE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住宿费、城市间交通费、</w:t>
      </w:r>
      <w:r w:rsidR="003B1E48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护照</w:t>
      </w:r>
      <w:r w:rsidR="00E65CAE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签证费用、国外保险费用、宴请费、礼品费、防疫费用、国际会议注册费用等有效原始票据</w:t>
      </w:r>
      <w:r w:rsidR="00630AD9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BE1673" w:rsidRPr="003008D4" w:rsidRDefault="00A22C76" w:rsidP="003008D4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（四）</w:t>
      </w:r>
      <w:r w:rsidR="00E65CAE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国外</w:t>
      </w:r>
      <w:r w:rsidR="00775A86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原始票据</w:t>
      </w:r>
      <w:r w:rsidR="00E65CAE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须用中文注明开支内容、日期、数量、金额等，并由经办人签字。</w:t>
      </w:r>
    </w:p>
    <w:p w:rsidR="007F31C7" w:rsidRPr="003008D4" w:rsidRDefault="00F53B10" w:rsidP="003008D4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371DB8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第二十</w:t>
      </w:r>
      <w:r w:rsidR="007D7423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一</w:t>
      </w:r>
      <w:r w:rsidR="00F85653"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条　</w:t>
      </w:r>
      <w:r w:rsidR="00F85653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财务</w:t>
      </w:r>
      <w:r w:rsidR="008D72BA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</w:t>
      </w:r>
      <w:r w:rsidR="00182F1E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920BF4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严格按照批准的出国团组人员、天数、路线、经费预算及开支标准核销经费，不得报销与出访任务无关的开支。</w:t>
      </w:r>
    </w:p>
    <w:p w:rsidR="007C1CB9" w:rsidRDefault="007C1CB9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bookmarkStart w:id="2" w:name="OLE_LINK22"/>
    </w:p>
    <w:p w:rsidR="00F114DA" w:rsidRPr="003008D4" w:rsidRDefault="00646D33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第</w:t>
      </w:r>
      <w:r w:rsidR="00E96870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八</w:t>
      </w: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章　监督问责</w:t>
      </w:r>
    </w:p>
    <w:p w:rsidR="0066424F" w:rsidRPr="003008D4" w:rsidRDefault="00F53B10" w:rsidP="003008D4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第二十</w:t>
      </w:r>
      <w:r w:rsidR="007D7423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</w:t>
      </w:r>
      <w:r w:rsidR="0066424F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="00F85653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</w:t>
      </w:r>
      <w:r w:rsidR="0066424F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除涉密内容和事项外，因公临时出国</w:t>
      </w:r>
      <w:r w:rsidR="00FD31F7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（境）</w:t>
      </w:r>
      <w:r w:rsidR="0066424F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经费的预决算应当按照预决算信息公开的有关规定，及时公开，主动接受</w:t>
      </w:r>
      <w:r w:rsidR="000A2982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群众</w:t>
      </w:r>
      <w:r w:rsidR="0066424F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监督。</w:t>
      </w:r>
    </w:p>
    <w:p w:rsidR="0066424F" w:rsidRPr="003008D4" w:rsidRDefault="0066424F" w:rsidP="003008D4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 w:rsidR="00F53B10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二十</w:t>
      </w:r>
      <w:r w:rsidR="007D7423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</w:t>
      </w: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="00920BF4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="008D72BA" w:rsidRPr="003008D4">
        <w:rPr>
          <w:rFonts w:ascii="仿宋" w:eastAsia="仿宋" w:hAnsi="仿宋" w:hint="eastAsia"/>
          <w:bCs/>
          <w:sz w:val="32"/>
          <w:szCs w:val="32"/>
        </w:rPr>
        <w:t>财务处</w:t>
      </w: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应当定期或不</w:t>
      </w:r>
      <w:r w:rsidR="00920BF4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定期对</w:t>
      </w: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各单</w:t>
      </w:r>
      <w:r w:rsidR="00920BF4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位因公临时</w:t>
      </w:r>
      <w:r w:rsidR="00920BF4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lastRenderedPageBreak/>
        <w:t>出国</w:t>
      </w:r>
      <w:r w:rsidR="00FD31F7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（境）</w:t>
      </w:r>
      <w:r w:rsidR="00920BF4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经费管理使用情况进行监督检查。审计部门应当对</w:t>
      </w: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因公临时出国</w:t>
      </w:r>
      <w:r w:rsidR="00FD31F7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（境）</w:t>
      </w: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经费管理使用情况进行审计。</w:t>
      </w:r>
    </w:p>
    <w:p w:rsidR="0066424F" w:rsidRPr="003008D4" w:rsidRDefault="0066424F" w:rsidP="003008D4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严格按照预算绩效管理的有关规定，加强因公临时出国经费预算绩效评价，切实提高预算资金的使用效益。</w:t>
      </w:r>
    </w:p>
    <w:p w:rsidR="00FD31F7" w:rsidRPr="003008D4" w:rsidRDefault="0066424F" w:rsidP="003008D4">
      <w:pPr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第二十</w:t>
      </w:r>
      <w:r w:rsidR="007D7423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</w:t>
      </w: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="00F85653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 xml:space="preserve"> </w:t>
      </w:r>
      <w:r w:rsidR="000A2982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出</w:t>
      </w:r>
      <w:r w:rsidR="00FC138D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访</w:t>
      </w:r>
      <w:r w:rsidR="00FD31F7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组团单位应当采取集中形式，对团组全体人员进行行前财经纪律教育。对出国人员违反本细则规定，有下列行为之一的，除相关开支一律不予报销外，按照《财政违法行为处罚处分条例》等有关规定严肃处理，并追究有关人员责任：</w:t>
      </w:r>
    </w:p>
    <w:p w:rsidR="0066424F" w:rsidRPr="003008D4" w:rsidRDefault="0066424F" w:rsidP="003008D4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（一）违规扩大出国经费开支范围；</w:t>
      </w:r>
    </w:p>
    <w:p w:rsidR="0066424F" w:rsidRPr="003008D4" w:rsidRDefault="0066424F" w:rsidP="003008D4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（二）擅自提高经费开支标准；</w:t>
      </w:r>
    </w:p>
    <w:p w:rsidR="0066424F" w:rsidRPr="003008D4" w:rsidRDefault="0066424F" w:rsidP="003008D4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（三）虚报团组级别、人数、国家数、天数等，套取出国</w:t>
      </w:r>
      <w:r w:rsidR="00FD31F7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（境）</w:t>
      </w: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经费；</w:t>
      </w:r>
    </w:p>
    <w:p w:rsidR="0066424F" w:rsidRPr="003008D4" w:rsidRDefault="0066424F" w:rsidP="003008D4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（四）使用虚假发票报销出国费用；</w:t>
      </w:r>
    </w:p>
    <w:p w:rsidR="007F31C7" w:rsidRPr="003008D4" w:rsidRDefault="0066424F" w:rsidP="003008D4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（五）其他违反本</w:t>
      </w:r>
      <w:r w:rsidR="000A2982"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细则</w:t>
      </w:r>
      <w:r w:rsidRPr="003008D4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的行为。</w:t>
      </w:r>
      <w:bookmarkEnd w:id="2"/>
    </w:p>
    <w:p w:rsidR="007C1CB9" w:rsidRDefault="007C1CB9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bookmarkStart w:id="3" w:name="OLE_LINK23"/>
    </w:p>
    <w:p w:rsidR="00F114DA" w:rsidRPr="003008D4" w:rsidRDefault="00646D33" w:rsidP="003008D4">
      <w:pPr>
        <w:widowControl/>
        <w:adjustRightInd w:val="0"/>
        <w:snapToGrid w:val="0"/>
        <w:spacing w:line="560" w:lineRule="exact"/>
        <w:ind w:firstLine="200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第</w:t>
      </w:r>
      <w:r w:rsidR="00E96870"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九</w:t>
      </w:r>
      <w:r w:rsidRPr="003008D4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章　附则</w:t>
      </w:r>
    </w:p>
    <w:p w:rsidR="00452665" w:rsidRPr="003008D4" w:rsidRDefault="00452665" w:rsidP="003008D4">
      <w:pPr>
        <w:spacing w:line="600" w:lineRule="exact"/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bookmarkStart w:id="4" w:name="OLE_LINK24"/>
      <w:bookmarkEnd w:id="3"/>
      <w:r w:rsidRPr="003008D4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第</w:t>
      </w:r>
      <w:r w:rsidR="00F55926" w:rsidRPr="003008D4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二</w:t>
      </w:r>
      <w:r w:rsidR="006B3CFA" w:rsidRPr="003008D4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十</w:t>
      </w:r>
      <w:r w:rsidR="007D7423" w:rsidRPr="003008D4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五</w:t>
      </w:r>
      <w:r w:rsidRPr="003008D4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 </w:t>
      </w:r>
      <w:r w:rsidR="006B03A9"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本细则附《各国家和地区住宿费、伙食费、公杂费开支标准表》。</w:t>
      </w:r>
      <w:r w:rsidRPr="003008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对与我新建交或未建交国家，相关经费开支标准暂按照经济水平相近的邻国标准执行。</w:t>
      </w:r>
    </w:p>
    <w:bookmarkEnd w:id="4"/>
    <w:p w:rsidR="007F31C7" w:rsidRPr="003008D4" w:rsidRDefault="00646D33" w:rsidP="003008D4">
      <w:pPr>
        <w:widowControl/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 w:rsidR="00F55926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</w:t>
      </w:r>
      <w:r w:rsidR="00A07698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十</w:t>
      </w:r>
      <w:r w:rsidR="007D7423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</w:t>
      </w: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　本办法由</w:t>
      </w:r>
      <w:r w:rsidR="008D72BA"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国际合作与研究生管理处和财务处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负责解释。</w:t>
      </w:r>
    </w:p>
    <w:p w:rsidR="007F31C7" w:rsidRPr="003008D4" w:rsidRDefault="00646D33" w:rsidP="003008D4">
      <w:pPr>
        <w:widowControl/>
        <w:adjustRightInd w:val="0"/>
        <w:snapToGrid w:val="0"/>
        <w:spacing w:line="600" w:lineRule="exact"/>
        <w:ind w:firstLineChars="200" w:firstLine="643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 w:rsidR="00F55926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</w:t>
      </w:r>
      <w:r w:rsidR="00FB4F26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十</w:t>
      </w:r>
      <w:r w:rsidR="007D7423"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七</w:t>
      </w:r>
      <w:r w:rsidRPr="003008D4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条</w:t>
      </w:r>
      <w:r w:rsidRPr="003008D4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　</w:t>
      </w:r>
      <w:r w:rsidRPr="003008D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本办法自印发之日起施行。</w:t>
      </w:r>
    </w:p>
    <w:p w:rsidR="00367C38" w:rsidRPr="003008D4" w:rsidRDefault="00367C38" w:rsidP="00630AD9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1355BC" w:rsidRPr="00630AD9" w:rsidRDefault="00630AD9" w:rsidP="00630AD9">
      <w:pPr>
        <w:widowControl/>
        <w:adjustRightInd w:val="0"/>
        <w:snapToGrid w:val="0"/>
        <w:spacing w:beforeLines="50" w:before="156" w:afterLines="50" w:after="156" w:line="560" w:lineRule="exact"/>
        <w:ind w:firstLineChars="200" w:firstLine="560"/>
        <w:jc w:val="lef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lastRenderedPageBreak/>
        <w:t>附件：</w:t>
      </w:r>
      <w:r w:rsidR="001355BC" w:rsidRPr="00630AD9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各国家和地区住宿费、伙食费、公杂费开支标准表</w:t>
      </w:r>
    </w:p>
    <w:tbl>
      <w:tblPr>
        <w:tblW w:w="101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359"/>
        <w:gridCol w:w="2107"/>
        <w:gridCol w:w="1306"/>
        <w:gridCol w:w="1630"/>
        <w:gridCol w:w="1450"/>
        <w:gridCol w:w="1407"/>
      </w:tblGrid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国家（地区）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城市</w:t>
            </w: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币种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住宿费</w:t>
            </w:r>
          </w:p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伙食费</w:t>
            </w:r>
          </w:p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公杂费</w:t>
            </w:r>
          </w:p>
          <w:p w:rsidR="001A0826" w:rsidRPr="00F50518" w:rsidRDefault="001A0826" w:rsidP="00086B37">
            <w:pPr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一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亚洲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蒙古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朝鲜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韩国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首尔、釜山、济州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光州、西归浦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日本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东京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日元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20000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10000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5000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大阪、京都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日元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18000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10000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5000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福冈、札幌、长崎、名古屋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日元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14000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10000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5000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日元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9000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10000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5000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缅甸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巴基斯坦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伊斯兰堡、拉哈尔、</w:t>
            </w:r>
          </w:p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卡拉奇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135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奎达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斯里兰卡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马尔代夫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孟加拉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伊拉克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阿拉伯联合酋长国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也门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萨那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亚丁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阿曼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伊朗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95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科威特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沙特阿拉伯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利雅得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A0826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吉达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6C7A0D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27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6C7A0D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28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巴林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6C7A0D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29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以色列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6C7A0D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巴勒斯坦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6C7A0D" w:rsidRPr="00F50518" w:rsidTr="00086B37">
        <w:trPr>
          <w:trHeight w:val="340"/>
          <w:jc w:val="center"/>
        </w:trPr>
        <w:tc>
          <w:tcPr>
            <w:tcW w:w="859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31</w:t>
            </w:r>
          </w:p>
        </w:tc>
        <w:tc>
          <w:tcPr>
            <w:tcW w:w="1359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文莱</w:t>
            </w:r>
          </w:p>
        </w:tc>
        <w:tc>
          <w:tcPr>
            <w:tcW w:w="21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30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3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450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407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</w:tbl>
    <w:p w:rsidR="006C7A0D" w:rsidRPr="00F50518" w:rsidRDefault="006C7A0D">
      <w:pPr>
        <w:rPr>
          <w:rFonts w:ascii="仿宋_GB2312" w:eastAsia="仿宋_GB2312"/>
        </w:rPr>
      </w:pPr>
    </w:p>
    <w:p w:rsidR="006C7A0D" w:rsidRPr="00F50518" w:rsidRDefault="006C7A0D">
      <w:pPr>
        <w:widowControl/>
        <w:jc w:val="left"/>
        <w:rPr>
          <w:rFonts w:ascii="仿宋_GB2312" w:eastAsia="仿宋_GB2312"/>
        </w:rPr>
      </w:pPr>
    </w:p>
    <w:tbl>
      <w:tblPr>
        <w:tblW w:w="99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483"/>
        <w:gridCol w:w="1971"/>
        <w:gridCol w:w="1072"/>
        <w:gridCol w:w="1535"/>
        <w:gridCol w:w="1386"/>
        <w:gridCol w:w="1642"/>
      </w:tblGrid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国家（地区）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城市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币种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住宿费</w:t>
            </w:r>
          </w:p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伙食费</w:t>
            </w:r>
          </w:p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公杂费</w:t>
            </w:r>
          </w:p>
          <w:p w:rsidR="006C7A0D" w:rsidRPr="00F50518" w:rsidRDefault="006C7A0D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印度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新德里、加尔各答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33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孟买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34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不丹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越南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河内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37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胡志明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39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柬埔寨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老挝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41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马来西亚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42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菲律宾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43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印度尼西亚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44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东帝汶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泰国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曼谷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46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宋卡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47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清迈、孔敬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48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49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新加坡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阿富汗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51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尼泊尔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52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黎巴嫩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53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塞浦路斯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54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约旦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土耳其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安卡拉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56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伊斯坦布尔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57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58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叙利亚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59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卡塔尔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香港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港币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61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澳门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港币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300</w:t>
            </w:r>
          </w:p>
        </w:tc>
      </w:tr>
      <w:tr w:rsidR="006C7A0D" w:rsidRPr="00F50518" w:rsidTr="00086B37">
        <w:trPr>
          <w:trHeight w:val="397"/>
          <w:jc w:val="center"/>
        </w:trPr>
        <w:tc>
          <w:tcPr>
            <w:tcW w:w="81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62</w:t>
            </w:r>
          </w:p>
        </w:tc>
        <w:tc>
          <w:tcPr>
            <w:tcW w:w="1483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台湾</w:t>
            </w:r>
          </w:p>
        </w:tc>
        <w:tc>
          <w:tcPr>
            <w:tcW w:w="1971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0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3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7A0D" w:rsidRPr="00F50518" w:rsidRDefault="006C7A0D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</w:tbl>
    <w:p w:rsidR="001A0826" w:rsidRPr="00F50518" w:rsidRDefault="001A0826">
      <w:pPr>
        <w:rPr>
          <w:rFonts w:ascii="仿宋_GB2312" w:eastAsia="仿宋_GB2312"/>
        </w:rPr>
      </w:pPr>
    </w:p>
    <w:p w:rsidR="006C7A0D" w:rsidRPr="00F50518" w:rsidRDefault="006C7A0D">
      <w:pPr>
        <w:rPr>
          <w:rFonts w:ascii="仿宋_GB2312" w:eastAsia="仿宋_GB2312"/>
        </w:rPr>
      </w:pPr>
    </w:p>
    <w:tbl>
      <w:tblPr>
        <w:tblW w:w="992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5"/>
        <w:gridCol w:w="1946"/>
        <w:gridCol w:w="642"/>
        <w:gridCol w:w="1614"/>
        <w:gridCol w:w="1386"/>
        <w:gridCol w:w="1642"/>
      </w:tblGrid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国家（地区）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城市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币种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住宿费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伙食费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公杂费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二、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非洲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马达加斯加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塔那那利佛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塔马塔夫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喀麦隆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多哥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48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科特迪瓦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摩洛哥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阿尔及利亚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卢旺达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32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几内亚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埃塞俄比亚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厄立特里亚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莫桑比克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塞舌尔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肯尼亚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利比亚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安哥拉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赞比亚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几内亚比绍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突尼斯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布隆迪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莱索托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F440C6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津巴布韦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33</w:t>
            </w:r>
          </w:p>
        </w:tc>
      </w:tr>
      <w:tr w:rsidR="00F440C6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尼日利亚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阿布贾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拉各斯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61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</w:tbl>
    <w:p w:rsidR="001A0826" w:rsidRPr="00F50518" w:rsidRDefault="001A0826">
      <w:pPr>
        <w:rPr>
          <w:rFonts w:ascii="仿宋_GB2312" w:eastAsia="仿宋_GB2312"/>
        </w:rPr>
      </w:pPr>
    </w:p>
    <w:p w:rsidR="001A0826" w:rsidRPr="00F50518" w:rsidRDefault="001A0826">
      <w:pPr>
        <w:widowControl/>
        <w:jc w:val="left"/>
        <w:rPr>
          <w:rFonts w:ascii="仿宋_GB2312" w:eastAsia="仿宋_GB2312"/>
        </w:rPr>
      </w:pPr>
      <w:r w:rsidRPr="00F50518">
        <w:rPr>
          <w:rFonts w:ascii="仿宋_GB2312" w:eastAsia="仿宋_GB2312" w:hint="eastAsia"/>
        </w:rPr>
        <w:br w:type="page"/>
      </w:r>
    </w:p>
    <w:tbl>
      <w:tblPr>
        <w:tblW w:w="95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5"/>
        <w:gridCol w:w="1946"/>
        <w:gridCol w:w="642"/>
        <w:gridCol w:w="1510"/>
        <w:gridCol w:w="1386"/>
        <w:gridCol w:w="1397"/>
      </w:tblGrid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lastRenderedPageBreak/>
              <w:t>序号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国家（地区）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城市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币种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住宿费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伙食费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公杂费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89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毛里求斯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155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索马里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苏丹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32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贝宁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马里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乌干达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塞拉利昂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吉布提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塞内加尔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冈比亚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加蓬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中非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布基纳法索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毛里塔尼亚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尼日尔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乍得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赤道几内亚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加纳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坦桑尼亚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达累斯萨拉姆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桑给巴尔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刚果（金）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刚果（布）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埃及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圣多美和普林西比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博茨瓦纳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南非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  <w:r w:rsidRPr="00F50518">
              <w:rPr>
                <w:rFonts w:ascii="仿宋_GB2312" w:eastAsia="仿宋_GB2312" w:hint="eastAsia"/>
              </w:rPr>
              <w:t>比勒陀利亚、</w:t>
            </w:r>
          </w:p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约翰内斯堡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开普敦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德班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纳米比亚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斯威士兰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利比里亚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佛得角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科摩罗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南苏丹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32</w:t>
            </w:r>
          </w:p>
        </w:tc>
      </w:tr>
      <w:tr w:rsidR="00F440C6" w:rsidRPr="00F50518" w:rsidTr="00086B37">
        <w:trPr>
          <w:trHeight w:val="283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马拉维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51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397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BC54B0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</w:tbl>
    <w:p w:rsidR="00086B37" w:rsidRPr="00F50518" w:rsidRDefault="00086B37">
      <w:pPr>
        <w:rPr>
          <w:rFonts w:ascii="仿宋_GB2312" w:eastAsia="仿宋_GB2312"/>
        </w:rPr>
      </w:pPr>
    </w:p>
    <w:p w:rsidR="00086B37" w:rsidRPr="00F50518" w:rsidRDefault="00086B37">
      <w:pPr>
        <w:widowControl/>
        <w:jc w:val="left"/>
        <w:rPr>
          <w:rFonts w:ascii="仿宋_GB2312" w:eastAsia="仿宋_GB2312"/>
        </w:rPr>
      </w:pPr>
      <w:r w:rsidRPr="00F50518">
        <w:rPr>
          <w:rFonts w:ascii="仿宋_GB2312" w:eastAsia="仿宋_GB2312" w:hint="eastAsia"/>
        </w:rPr>
        <w:br w:type="page"/>
      </w:r>
    </w:p>
    <w:p w:rsidR="001A0826" w:rsidRPr="00F50518" w:rsidRDefault="001A0826">
      <w:pPr>
        <w:rPr>
          <w:rFonts w:ascii="仿宋_GB2312" w:eastAsia="仿宋_GB2312"/>
        </w:rPr>
      </w:pPr>
    </w:p>
    <w:tbl>
      <w:tblPr>
        <w:tblW w:w="9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5"/>
        <w:gridCol w:w="1946"/>
        <w:gridCol w:w="642"/>
        <w:gridCol w:w="1472"/>
        <w:gridCol w:w="1386"/>
        <w:gridCol w:w="1642"/>
      </w:tblGrid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国家（地区）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城市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币种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住宿费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伙食费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公杂费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罗马尼亚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布加勒斯特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康斯坦察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马其顿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斯洛文尼亚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波黑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克罗地亚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阿尔巴尼亚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保加利亚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俄罗斯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莫斯科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285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哈巴罗夫斯克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叶卡捷琳堡、圣彼得堡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伊尔库茨克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立陶宛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拉脱维亚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爱沙尼亚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乌克兰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基辅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敖德萨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阿塞拜疆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亚美尼亚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格鲁吉亚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吉尔吉斯斯坦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比什凯克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塔吉克斯坦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土库曼斯坦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乌兹别克斯坦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塔什干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32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撒马尔罕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32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32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白俄罗斯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哈萨克斯坦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阿斯塔纳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阿拉木图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摩尔多瓦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</w:tbl>
    <w:p w:rsidR="00F440C6" w:rsidRPr="00F50518" w:rsidRDefault="00F440C6">
      <w:pPr>
        <w:rPr>
          <w:rFonts w:ascii="仿宋_GB2312" w:eastAsia="仿宋_GB2312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outset" w:sz="6" w:space="0" w:color="FFFFFF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5"/>
        <w:gridCol w:w="1946"/>
        <w:gridCol w:w="642"/>
        <w:gridCol w:w="1472"/>
        <w:gridCol w:w="1386"/>
        <w:gridCol w:w="1447"/>
      </w:tblGrid>
      <w:tr w:rsidR="00F440C6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国家（地区）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城市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币种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住宿费</w:t>
            </w:r>
          </w:p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伙食费</w:t>
            </w:r>
          </w:p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公杂费</w:t>
            </w:r>
          </w:p>
          <w:p w:rsidR="00F440C6" w:rsidRPr="00F50518" w:rsidRDefault="00F440C6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161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波兰</w:t>
            </w:r>
          </w:p>
        </w:tc>
        <w:tc>
          <w:tcPr>
            <w:tcW w:w="194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华沙</w:t>
            </w: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162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革但斯克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163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164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德国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柏林、汉堡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165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慕尼黑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166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法兰克福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167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168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荷兰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海牙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169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阿姆斯特丹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171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意大利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罗马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172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米兰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173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佛罗伦萨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174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175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比利时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176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奥地利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177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希腊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178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法国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巴黎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179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马赛、斯特拉斯堡、</w:t>
            </w:r>
          </w:p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尼斯、里昂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181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西班牙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125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182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卢森堡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183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爱尔兰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184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葡萄牙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185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芬兰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145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186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捷克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187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斯洛伐克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188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匈牙利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189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瑞典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280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190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丹麦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191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挪威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80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192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瑞士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70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40"/>
          <w:jc w:val="center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193</w:t>
            </w:r>
          </w:p>
        </w:tc>
        <w:tc>
          <w:tcPr>
            <w:tcW w:w="1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冰岛</w:t>
            </w:r>
          </w:p>
        </w:tc>
        <w:tc>
          <w:tcPr>
            <w:tcW w:w="19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65</w:t>
            </w:r>
          </w:p>
        </w:tc>
        <w:tc>
          <w:tcPr>
            <w:tcW w:w="14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</w:tbl>
    <w:p w:rsidR="001A0826" w:rsidRPr="00F50518" w:rsidRDefault="001A0826">
      <w:pPr>
        <w:rPr>
          <w:rFonts w:ascii="仿宋_GB2312" w:eastAsia="仿宋_GB2312"/>
        </w:rPr>
      </w:pPr>
    </w:p>
    <w:p w:rsidR="001A0826" w:rsidRPr="00F50518" w:rsidRDefault="001A0826">
      <w:pPr>
        <w:widowControl/>
        <w:jc w:val="left"/>
        <w:rPr>
          <w:rFonts w:ascii="仿宋_GB2312" w:eastAsia="仿宋_GB2312"/>
        </w:rPr>
      </w:pPr>
      <w:r w:rsidRPr="00F50518">
        <w:rPr>
          <w:rFonts w:ascii="仿宋_GB2312" w:eastAsia="仿宋_GB2312" w:hint="eastAsia"/>
        </w:rPr>
        <w:br w:type="page"/>
      </w:r>
    </w:p>
    <w:tbl>
      <w:tblPr>
        <w:tblW w:w="976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938"/>
        <w:gridCol w:w="1946"/>
        <w:gridCol w:w="642"/>
        <w:gridCol w:w="1404"/>
        <w:gridCol w:w="1386"/>
        <w:gridCol w:w="1455"/>
      </w:tblGrid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lastRenderedPageBreak/>
              <w:t>序号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国家（地区）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城市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币种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住宿费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伙食费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公杂费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马耳他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38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195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塞尔维亚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196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黑山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欧元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196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英国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伦敦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英镑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198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曼彻斯特、爱丁堡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英镑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199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英镑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四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美洲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美国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华盛顿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201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旧金山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202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休斯顿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203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波士顿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204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纽约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205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芝加哥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206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洛杉矶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207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夏威夷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208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209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加拿大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渥太华、多伦多、</w:t>
            </w:r>
          </w:p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卡尔加里、蒙特利尔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210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温哥华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211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212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墨西哥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墨西哥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213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蒂华纳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214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215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巴西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巴西利亚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216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圣保罗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217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里约热内卢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218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219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牙买加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220</w:t>
            </w:r>
          </w:p>
        </w:tc>
        <w:tc>
          <w:tcPr>
            <w:tcW w:w="1938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特立尼达和多巴哥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0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45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</w:tbl>
    <w:p w:rsidR="001A0826" w:rsidRPr="00F50518" w:rsidRDefault="001A0826">
      <w:pPr>
        <w:rPr>
          <w:rFonts w:ascii="仿宋_GB2312" w:eastAsia="仿宋_GB2312"/>
        </w:rPr>
      </w:pPr>
    </w:p>
    <w:p w:rsidR="001A0826" w:rsidRPr="00F50518" w:rsidRDefault="001A0826">
      <w:pPr>
        <w:widowControl/>
        <w:jc w:val="left"/>
        <w:rPr>
          <w:rFonts w:ascii="仿宋_GB2312" w:eastAsia="仿宋_GB2312"/>
        </w:rPr>
      </w:pPr>
      <w:r w:rsidRPr="00F50518">
        <w:rPr>
          <w:rFonts w:ascii="仿宋_GB2312" w:eastAsia="仿宋_GB2312" w:hint="eastAsia"/>
        </w:rPr>
        <w:br w:type="page"/>
      </w:r>
    </w:p>
    <w:tbl>
      <w:tblPr>
        <w:tblW w:w="9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5"/>
        <w:gridCol w:w="1946"/>
        <w:gridCol w:w="642"/>
        <w:gridCol w:w="1472"/>
        <w:gridCol w:w="1386"/>
        <w:gridCol w:w="1642"/>
      </w:tblGrid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lastRenderedPageBreak/>
              <w:t>序号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国家（地区）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城市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币种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住宿费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（每人每天）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伙食费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（每人每天）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公杂费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（每人每天）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厄瓜多尔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32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阿根廷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乌拉圭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智利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圣地亚哥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47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伊基克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47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安托法加斯塔、阿里卡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47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47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哥伦比亚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波哥大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麦德林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卡塔赫纳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巴巴多斯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圭亚那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古巴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37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巴拿马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135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格林纳达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安提瓜和巴布达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秘鲁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玻利维亚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36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尼加拉瓜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苏里南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委内瑞拉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230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海地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43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波多黎各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多米尼加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多米尼克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巴哈马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圣卢西亚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阿鲁巴岛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outset" w:sz="6" w:space="0" w:color="FFFFFF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5B5063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A0826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826" w:rsidRPr="00F50518" w:rsidRDefault="001A0826" w:rsidP="001A0826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1A0826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哥斯达黎加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1A0826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1A0826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1A0826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1A0826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0826" w:rsidRPr="00F50518" w:rsidRDefault="001A0826" w:rsidP="001A0826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</w:tr>
    </w:tbl>
    <w:p w:rsidR="001A0826" w:rsidRPr="00F50518" w:rsidRDefault="001A0826">
      <w:pPr>
        <w:rPr>
          <w:rFonts w:ascii="仿宋_GB2312" w:eastAsia="仿宋_GB2312"/>
        </w:rPr>
      </w:pPr>
    </w:p>
    <w:p w:rsidR="001A0826" w:rsidRPr="00F50518" w:rsidRDefault="001A0826">
      <w:pPr>
        <w:widowControl/>
        <w:jc w:val="left"/>
        <w:rPr>
          <w:rFonts w:ascii="仿宋_GB2312" w:eastAsia="仿宋_GB2312"/>
        </w:rPr>
      </w:pPr>
      <w:r w:rsidRPr="00F50518">
        <w:rPr>
          <w:rFonts w:ascii="仿宋_GB2312" w:eastAsia="仿宋_GB2312" w:hint="eastAsia"/>
        </w:rPr>
        <w:br w:type="page"/>
      </w:r>
    </w:p>
    <w:tbl>
      <w:tblPr>
        <w:tblW w:w="97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705"/>
        <w:gridCol w:w="1946"/>
        <w:gridCol w:w="642"/>
        <w:gridCol w:w="1472"/>
        <w:gridCol w:w="1386"/>
        <w:gridCol w:w="1642"/>
      </w:tblGrid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lastRenderedPageBreak/>
              <w:t>序号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国家（地区）</w:t>
            </w:r>
          </w:p>
        </w:tc>
        <w:tc>
          <w:tcPr>
            <w:tcW w:w="19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城市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币种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住宿费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伙食费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公杂费</w:t>
            </w:r>
          </w:p>
          <w:p w:rsidR="001355BC" w:rsidRPr="00F50518" w:rsidRDefault="001355BC" w:rsidP="00086B37">
            <w:pPr>
              <w:jc w:val="center"/>
              <w:rPr>
                <w:rFonts w:ascii="仿宋_GB2312" w:eastAsia="仿宋_GB2312"/>
                <w:b/>
              </w:rPr>
            </w:pPr>
            <w:r w:rsidRPr="00F50518">
              <w:rPr>
                <w:rFonts w:ascii="仿宋_GB2312" w:eastAsia="仿宋_GB2312" w:hint="eastAsia"/>
                <w:b/>
              </w:rPr>
              <w:t>（每人每天）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五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大洋洲及太平洋岛屿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澳大利亚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堪培拉、帕斯、</w:t>
            </w:r>
          </w:p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布里斯班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墨尔本、悉尼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新西兰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萨摩亚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170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47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斐济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苏瓦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楠迪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其他城市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110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259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巴布亚新几内亚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260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密克罗尼西亚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40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30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261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马绍尔群岛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120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262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瓦努阿图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150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263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基里巴斯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195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55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264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汤加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160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265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帕劳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266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库克群岛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180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267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所罗门群岛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200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268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法属留尼汪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140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  <w:tr w:rsidR="001355BC" w:rsidRPr="00F50518" w:rsidTr="00086B37">
        <w:trPr>
          <w:trHeight w:val="397"/>
          <w:jc w:val="center"/>
        </w:trPr>
        <w:tc>
          <w:tcPr>
            <w:tcW w:w="993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269</w:t>
            </w:r>
          </w:p>
        </w:tc>
        <w:tc>
          <w:tcPr>
            <w:tcW w:w="1705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法属波利尼西亚</w:t>
            </w:r>
          </w:p>
        </w:tc>
        <w:tc>
          <w:tcPr>
            <w:tcW w:w="194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 </w:t>
            </w:r>
          </w:p>
        </w:tc>
        <w:tc>
          <w:tcPr>
            <w:tcW w:w="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美元</w:t>
            </w:r>
          </w:p>
        </w:tc>
        <w:tc>
          <w:tcPr>
            <w:tcW w:w="147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240</w:t>
            </w:r>
          </w:p>
        </w:tc>
        <w:tc>
          <w:tcPr>
            <w:tcW w:w="1386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60</w:t>
            </w:r>
          </w:p>
        </w:tc>
        <w:tc>
          <w:tcPr>
            <w:tcW w:w="1642" w:type="dxa"/>
            <w:tcBorders>
              <w:top w:val="outset" w:sz="6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55BC" w:rsidRPr="00F50518" w:rsidRDefault="001355BC" w:rsidP="00086B37">
            <w:pPr>
              <w:rPr>
                <w:rFonts w:ascii="仿宋_GB2312" w:eastAsia="仿宋_GB2312"/>
              </w:rPr>
            </w:pPr>
            <w:r w:rsidRPr="00F50518">
              <w:rPr>
                <w:rFonts w:ascii="仿宋_GB2312" w:eastAsia="仿宋_GB2312" w:hint="eastAsia"/>
              </w:rPr>
              <w:t>35</w:t>
            </w:r>
          </w:p>
        </w:tc>
      </w:tr>
    </w:tbl>
    <w:p w:rsidR="001355BC" w:rsidRPr="00F50518" w:rsidRDefault="001355BC" w:rsidP="001355BC">
      <w:pPr>
        <w:rPr>
          <w:rFonts w:ascii="仿宋_GB2312" w:eastAsia="仿宋_GB2312"/>
        </w:rPr>
      </w:pPr>
    </w:p>
    <w:p w:rsidR="001355BC" w:rsidRPr="00F50518" w:rsidRDefault="001355BC" w:rsidP="001355BC">
      <w:pPr>
        <w:widowControl/>
        <w:spacing w:line="520" w:lineRule="exact"/>
        <w:ind w:firstLine="60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1355BC" w:rsidRPr="00F50518" w:rsidRDefault="001355BC" w:rsidP="001355BC">
      <w:pPr>
        <w:widowControl/>
        <w:spacing w:line="520" w:lineRule="exact"/>
        <w:ind w:firstLine="609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1355BC" w:rsidRPr="00F50518" w:rsidSect="001805DF">
      <w:footerReference w:type="default" r:id="rId9"/>
      <w:pgSz w:w="11906" w:h="16838"/>
      <w:pgMar w:top="1270" w:right="1689" w:bottom="1270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F5" w:rsidRDefault="00311BF5">
      <w:r>
        <w:separator/>
      </w:r>
    </w:p>
  </w:endnote>
  <w:endnote w:type="continuationSeparator" w:id="0">
    <w:p w:rsidR="00311BF5" w:rsidRDefault="0031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A62" w:rsidRDefault="00085A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5205730</wp:posOffset>
              </wp:positionH>
              <wp:positionV relativeFrom="paragraph">
                <wp:posOffset>0</wp:posOffset>
              </wp:positionV>
              <wp:extent cx="209550" cy="20447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5A62" w:rsidRDefault="00085A62">
                          <w:pPr>
                            <w:snapToGrid w:val="0"/>
                            <w:rPr>
                              <w:rFonts w:ascii="Times New Roman" w:eastAsiaTheme="majorEastAsia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09.9pt;margin-top:0;width:16.5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" filled="f" stroked="f" strokeweight=".5pt">
              <v:path arrowok="t"/>
              <v:textbox style="mso-fit-shape-to-text:t" inset="0,0,0,0">
                <w:txbxContent>
                  <w:p w:rsidR="00085A62" w:rsidRDefault="00085A62">
                    <w:pPr>
                      <w:snapToGrid w:val="0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F5" w:rsidRDefault="00311BF5">
      <w:r>
        <w:separator/>
      </w:r>
    </w:p>
  </w:footnote>
  <w:footnote w:type="continuationSeparator" w:id="0">
    <w:p w:rsidR="00311BF5" w:rsidRDefault="0031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B6AA8"/>
    <w:multiLevelType w:val="hybridMultilevel"/>
    <w:tmpl w:val="C570F156"/>
    <w:lvl w:ilvl="0" w:tplc="A2C02B34">
      <w:start w:val="1"/>
      <w:numFmt w:val="japaneseCounting"/>
      <w:lvlText w:val="第%1章"/>
      <w:lvlJc w:val="left"/>
      <w:pPr>
        <w:ind w:left="1953" w:hanging="13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9" w:hanging="420"/>
      </w:pPr>
    </w:lvl>
    <w:lvl w:ilvl="2" w:tplc="0409001B" w:tentative="1">
      <w:start w:val="1"/>
      <w:numFmt w:val="lowerRoman"/>
      <w:lvlText w:val="%3."/>
      <w:lvlJc w:val="righ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9" w:tentative="1">
      <w:start w:val="1"/>
      <w:numFmt w:val="lowerLetter"/>
      <w:lvlText w:val="%5)"/>
      <w:lvlJc w:val="left"/>
      <w:pPr>
        <w:ind w:left="2709" w:hanging="420"/>
      </w:pPr>
    </w:lvl>
    <w:lvl w:ilvl="5" w:tplc="0409001B" w:tentative="1">
      <w:start w:val="1"/>
      <w:numFmt w:val="lowerRoman"/>
      <w:lvlText w:val="%6."/>
      <w:lvlJc w:val="righ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9" w:tentative="1">
      <w:start w:val="1"/>
      <w:numFmt w:val="lowerLetter"/>
      <w:lvlText w:val="%8)"/>
      <w:lvlJc w:val="left"/>
      <w:pPr>
        <w:ind w:left="3969" w:hanging="420"/>
      </w:pPr>
    </w:lvl>
    <w:lvl w:ilvl="8" w:tplc="0409001B" w:tentative="1">
      <w:start w:val="1"/>
      <w:numFmt w:val="lowerRoman"/>
      <w:lvlText w:val="%9."/>
      <w:lvlJc w:val="right"/>
      <w:pPr>
        <w:ind w:left="43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E0FC5"/>
    <w:rsid w:val="0000478C"/>
    <w:rsid w:val="00013001"/>
    <w:rsid w:val="00021337"/>
    <w:rsid w:val="00023430"/>
    <w:rsid w:val="00025E06"/>
    <w:rsid w:val="000325E4"/>
    <w:rsid w:val="0004146E"/>
    <w:rsid w:val="0005103C"/>
    <w:rsid w:val="00054808"/>
    <w:rsid w:val="0006134C"/>
    <w:rsid w:val="00064571"/>
    <w:rsid w:val="00064FA8"/>
    <w:rsid w:val="00077E3E"/>
    <w:rsid w:val="00085A62"/>
    <w:rsid w:val="00086B37"/>
    <w:rsid w:val="000A2982"/>
    <w:rsid w:val="000B15D4"/>
    <w:rsid w:val="000C0ED4"/>
    <w:rsid w:val="000C4C0E"/>
    <w:rsid w:val="000E7312"/>
    <w:rsid w:val="000E7399"/>
    <w:rsid w:val="000F5CB4"/>
    <w:rsid w:val="00112E2D"/>
    <w:rsid w:val="00124789"/>
    <w:rsid w:val="001269C7"/>
    <w:rsid w:val="001355BC"/>
    <w:rsid w:val="0015623F"/>
    <w:rsid w:val="00166264"/>
    <w:rsid w:val="0017226D"/>
    <w:rsid w:val="001805DF"/>
    <w:rsid w:val="00182F1E"/>
    <w:rsid w:val="001905EF"/>
    <w:rsid w:val="00193255"/>
    <w:rsid w:val="001A0826"/>
    <w:rsid w:val="001A2538"/>
    <w:rsid w:val="001C48FF"/>
    <w:rsid w:val="001D3E0C"/>
    <w:rsid w:val="001D6601"/>
    <w:rsid w:val="001F4CF2"/>
    <w:rsid w:val="0020497C"/>
    <w:rsid w:val="00207ECB"/>
    <w:rsid w:val="00216525"/>
    <w:rsid w:val="00225188"/>
    <w:rsid w:val="00252CFA"/>
    <w:rsid w:val="00280E22"/>
    <w:rsid w:val="00290C46"/>
    <w:rsid w:val="002919A2"/>
    <w:rsid w:val="002A3FA9"/>
    <w:rsid w:val="002D04AF"/>
    <w:rsid w:val="002D3820"/>
    <w:rsid w:val="002D54E5"/>
    <w:rsid w:val="002E4CD3"/>
    <w:rsid w:val="003008D4"/>
    <w:rsid w:val="00311BF5"/>
    <w:rsid w:val="00330689"/>
    <w:rsid w:val="003415AC"/>
    <w:rsid w:val="00364048"/>
    <w:rsid w:val="00367C38"/>
    <w:rsid w:val="003810D9"/>
    <w:rsid w:val="0038245F"/>
    <w:rsid w:val="003848D5"/>
    <w:rsid w:val="00384E98"/>
    <w:rsid w:val="0038506C"/>
    <w:rsid w:val="003A3631"/>
    <w:rsid w:val="003B1E48"/>
    <w:rsid w:val="003C2FE7"/>
    <w:rsid w:val="003E3404"/>
    <w:rsid w:val="003F2333"/>
    <w:rsid w:val="003F6F79"/>
    <w:rsid w:val="00407CD8"/>
    <w:rsid w:val="00430590"/>
    <w:rsid w:val="004342AF"/>
    <w:rsid w:val="004457F6"/>
    <w:rsid w:val="00452665"/>
    <w:rsid w:val="0046287F"/>
    <w:rsid w:val="004A3334"/>
    <w:rsid w:val="004A762C"/>
    <w:rsid w:val="004D30F9"/>
    <w:rsid w:val="004D47A2"/>
    <w:rsid w:val="004F6898"/>
    <w:rsid w:val="00500A5D"/>
    <w:rsid w:val="00505225"/>
    <w:rsid w:val="00521A9E"/>
    <w:rsid w:val="00544C33"/>
    <w:rsid w:val="0055588D"/>
    <w:rsid w:val="00557206"/>
    <w:rsid w:val="005838A6"/>
    <w:rsid w:val="00584A63"/>
    <w:rsid w:val="005A19EE"/>
    <w:rsid w:val="005A7D03"/>
    <w:rsid w:val="005B3FC7"/>
    <w:rsid w:val="005B44D7"/>
    <w:rsid w:val="005B5063"/>
    <w:rsid w:val="005E4B5A"/>
    <w:rsid w:val="006068EC"/>
    <w:rsid w:val="00607470"/>
    <w:rsid w:val="00611663"/>
    <w:rsid w:val="006141DD"/>
    <w:rsid w:val="00615975"/>
    <w:rsid w:val="0062180F"/>
    <w:rsid w:val="00630AD9"/>
    <w:rsid w:val="00634F59"/>
    <w:rsid w:val="00644C2A"/>
    <w:rsid w:val="00646D33"/>
    <w:rsid w:val="0065393F"/>
    <w:rsid w:val="006563AE"/>
    <w:rsid w:val="00657C2E"/>
    <w:rsid w:val="0066424F"/>
    <w:rsid w:val="00671DBB"/>
    <w:rsid w:val="00683D84"/>
    <w:rsid w:val="00691688"/>
    <w:rsid w:val="006B03A9"/>
    <w:rsid w:val="006B3CFA"/>
    <w:rsid w:val="006C0F8F"/>
    <w:rsid w:val="006C7A0D"/>
    <w:rsid w:val="006D22FF"/>
    <w:rsid w:val="006E0293"/>
    <w:rsid w:val="007076AC"/>
    <w:rsid w:val="00720174"/>
    <w:rsid w:val="007236AB"/>
    <w:rsid w:val="00743A8B"/>
    <w:rsid w:val="00775A86"/>
    <w:rsid w:val="007B2D14"/>
    <w:rsid w:val="007B57B3"/>
    <w:rsid w:val="007B6D93"/>
    <w:rsid w:val="007C1CB9"/>
    <w:rsid w:val="007D7423"/>
    <w:rsid w:val="007F31C7"/>
    <w:rsid w:val="007F426E"/>
    <w:rsid w:val="00830480"/>
    <w:rsid w:val="00830992"/>
    <w:rsid w:val="00830CE4"/>
    <w:rsid w:val="00853792"/>
    <w:rsid w:val="00871C05"/>
    <w:rsid w:val="008811AC"/>
    <w:rsid w:val="008A0B01"/>
    <w:rsid w:val="008A1DAA"/>
    <w:rsid w:val="008A657E"/>
    <w:rsid w:val="008C35AF"/>
    <w:rsid w:val="008C6A9C"/>
    <w:rsid w:val="008C79F6"/>
    <w:rsid w:val="008D72BA"/>
    <w:rsid w:val="008E0062"/>
    <w:rsid w:val="008E3212"/>
    <w:rsid w:val="009045B9"/>
    <w:rsid w:val="00905171"/>
    <w:rsid w:val="009104BF"/>
    <w:rsid w:val="00910723"/>
    <w:rsid w:val="00920BF4"/>
    <w:rsid w:val="00930930"/>
    <w:rsid w:val="00931CBD"/>
    <w:rsid w:val="00952A74"/>
    <w:rsid w:val="00957126"/>
    <w:rsid w:val="00977E3E"/>
    <w:rsid w:val="0098210D"/>
    <w:rsid w:val="009861D7"/>
    <w:rsid w:val="00992CA6"/>
    <w:rsid w:val="009A117B"/>
    <w:rsid w:val="009A3990"/>
    <w:rsid w:val="009A7504"/>
    <w:rsid w:val="009B2B35"/>
    <w:rsid w:val="009C20E3"/>
    <w:rsid w:val="009D17D4"/>
    <w:rsid w:val="009D7ABF"/>
    <w:rsid w:val="00A07698"/>
    <w:rsid w:val="00A2287C"/>
    <w:rsid w:val="00A22C76"/>
    <w:rsid w:val="00A23BAC"/>
    <w:rsid w:val="00A459A7"/>
    <w:rsid w:val="00A6057C"/>
    <w:rsid w:val="00A7293B"/>
    <w:rsid w:val="00A864D7"/>
    <w:rsid w:val="00AD753E"/>
    <w:rsid w:val="00AE3D09"/>
    <w:rsid w:val="00AE3E1E"/>
    <w:rsid w:val="00AF2A10"/>
    <w:rsid w:val="00AF5DA9"/>
    <w:rsid w:val="00B03795"/>
    <w:rsid w:val="00B07295"/>
    <w:rsid w:val="00B13294"/>
    <w:rsid w:val="00B158CE"/>
    <w:rsid w:val="00B34575"/>
    <w:rsid w:val="00B55F8E"/>
    <w:rsid w:val="00B63494"/>
    <w:rsid w:val="00B6521D"/>
    <w:rsid w:val="00B65511"/>
    <w:rsid w:val="00B86556"/>
    <w:rsid w:val="00B9375D"/>
    <w:rsid w:val="00BB65BB"/>
    <w:rsid w:val="00BC2405"/>
    <w:rsid w:val="00BC4056"/>
    <w:rsid w:val="00BC54B0"/>
    <w:rsid w:val="00BE1673"/>
    <w:rsid w:val="00C100D7"/>
    <w:rsid w:val="00C1666F"/>
    <w:rsid w:val="00C24F6D"/>
    <w:rsid w:val="00C26E0A"/>
    <w:rsid w:val="00C27A44"/>
    <w:rsid w:val="00C31BDC"/>
    <w:rsid w:val="00C76F4D"/>
    <w:rsid w:val="00C8655E"/>
    <w:rsid w:val="00C87566"/>
    <w:rsid w:val="00C93F45"/>
    <w:rsid w:val="00CC7D37"/>
    <w:rsid w:val="00CD1DB7"/>
    <w:rsid w:val="00CD20CA"/>
    <w:rsid w:val="00D0186D"/>
    <w:rsid w:val="00D12140"/>
    <w:rsid w:val="00D60D4B"/>
    <w:rsid w:val="00D6166D"/>
    <w:rsid w:val="00D6245B"/>
    <w:rsid w:val="00DB01D3"/>
    <w:rsid w:val="00DD0796"/>
    <w:rsid w:val="00DE7047"/>
    <w:rsid w:val="00DF41C6"/>
    <w:rsid w:val="00E15F20"/>
    <w:rsid w:val="00E24275"/>
    <w:rsid w:val="00E65CAE"/>
    <w:rsid w:val="00E664CB"/>
    <w:rsid w:val="00E70D82"/>
    <w:rsid w:val="00E730F7"/>
    <w:rsid w:val="00E7561E"/>
    <w:rsid w:val="00E84065"/>
    <w:rsid w:val="00E9143B"/>
    <w:rsid w:val="00E94806"/>
    <w:rsid w:val="00E96870"/>
    <w:rsid w:val="00EB1259"/>
    <w:rsid w:val="00EB56A0"/>
    <w:rsid w:val="00EE0287"/>
    <w:rsid w:val="00EE5C87"/>
    <w:rsid w:val="00EF1BAF"/>
    <w:rsid w:val="00F0082A"/>
    <w:rsid w:val="00F114DA"/>
    <w:rsid w:val="00F30214"/>
    <w:rsid w:val="00F32903"/>
    <w:rsid w:val="00F440C6"/>
    <w:rsid w:val="00F50518"/>
    <w:rsid w:val="00F53B10"/>
    <w:rsid w:val="00F55926"/>
    <w:rsid w:val="00F5607D"/>
    <w:rsid w:val="00F5636E"/>
    <w:rsid w:val="00F63F85"/>
    <w:rsid w:val="00F85653"/>
    <w:rsid w:val="00F9174B"/>
    <w:rsid w:val="00FA799D"/>
    <w:rsid w:val="00FB4F26"/>
    <w:rsid w:val="00FB6635"/>
    <w:rsid w:val="00FC138D"/>
    <w:rsid w:val="00FD31F7"/>
    <w:rsid w:val="00FE2565"/>
    <w:rsid w:val="00FE5E35"/>
    <w:rsid w:val="013B0C29"/>
    <w:rsid w:val="05DA0F59"/>
    <w:rsid w:val="0D7B0791"/>
    <w:rsid w:val="1023485B"/>
    <w:rsid w:val="115E0853"/>
    <w:rsid w:val="11A01E87"/>
    <w:rsid w:val="17CE5C09"/>
    <w:rsid w:val="1AE40024"/>
    <w:rsid w:val="1BE703CB"/>
    <w:rsid w:val="1CDC469B"/>
    <w:rsid w:val="1F19257C"/>
    <w:rsid w:val="209E0FC5"/>
    <w:rsid w:val="228554E6"/>
    <w:rsid w:val="24BE6DEC"/>
    <w:rsid w:val="259F22D8"/>
    <w:rsid w:val="26166B47"/>
    <w:rsid w:val="28B441D9"/>
    <w:rsid w:val="2BE77663"/>
    <w:rsid w:val="2C2E5E63"/>
    <w:rsid w:val="2C76414E"/>
    <w:rsid w:val="2CB35618"/>
    <w:rsid w:val="2D2A5F3D"/>
    <w:rsid w:val="2EE86C0E"/>
    <w:rsid w:val="30486F7F"/>
    <w:rsid w:val="32623B59"/>
    <w:rsid w:val="32D543D4"/>
    <w:rsid w:val="341B5239"/>
    <w:rsid w:val="347C197A"/>
    <w:rsid w:val="369C2530"/>
    <w:rsid w:val="36D466B9"/>
    <w:rsid w:val="39A6538D"/>
    <w:rsid w:val="3B3E6F04"/>
    <w:rsid w:val="3D5A211A"/>
    <w:rsid w:val="3D7D1C8A"/>
    <w:rsid w:val="3F6142A0"/>
    <w:rsid w:val="407F4D0A"/>
    <w:rsid w:val="41321C40"/>
    <w:rsid w:val="42724186"/>
    <w:rsid w:val="42D171EF"/>
    <w:rsid w:val="45FE00E8"/>
    <w:rsid w:val="47A87AB0"/>
    <w:rsid w:val="47DE0285"/>
    <w:rsid w:val="484A57FE"/>
    <w:rsid w:val="486E036E"/>
    <w:rsid w:val="49AC5F3B"/>
    <w:rsid w:val="4AE550BF"/>
    <w:rsid w:val="5288231E"/>
    <w:rsid w:val="52EB44FC"/>
    <w:rsid w:val="55275474"/>
    <w:rsid w:val="570A7EFD"/>
    <w:rsid w:val="5A583020"/>
    <w:rsid w:val="5B955F25"/>
    <w:rsid w:val="5CF86F88"/>
    <w:rsid w:val="5FF0405A"/>
    <w:rsid w:val="608F16C5"/>
    <w:rsid w:val="60FC5C5D"/>
    <w:rsid w:val="62FF30C5"/>
    <w:rsid w:val="676D010F"/>
    <w:rsid w:val="677A5FF3"/>
    <w:rsid w:val="67BA3A02"/>
    <w:rsid w:val="69C37240"/>
    <w:rsid w:val="6AC7254A"/>
    <w:rsid w:val="6D224193"/>
    <w:rsid w:val="6F0474A5"/>
    <w:rsid w:val="742C4AEE"/>
    <w:rsid w:val="7485473E"/>
    <w:rsid w:val="75CF2CC1"/>
    <w:rsid w:val="782537BA"/>
    <w:rsid w:val="782858BE"/>
    <w:rsid w:val="7AAB0D92"/>
    <w:rsid w:val="7D046BD9"/>
    <w:rsid w:val="7E361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0CC8EF-5472-48FE-853C-8D695B0D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qFormat/>
    <w:rPr>
      <w:color w:val="000000"/>
      <w:sz w:val="18"/>
      <w:szCs w:val="18"/>
      <w:u w:val="none"/>
    </w:rPr>
  </w:style>
  <w:style w:type="paragraph" w:styleId="a6">
    <w:name w:val="Balloon Text"/>
    <w:basedOn w:val="a"/>
    <w:link w:val="Char"/>
    <w:uiPriority w:val="99"/>
    <w:rsid w:val="0020497C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rsid w:val="002049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920BF4"/>
    <w:pPr>
      <w:ind w:firstLineChars="200" w:firstLine="420"/>
    </w:pPr>
  </w:style>
  <w:style w:type="numbering" w:customStyle="1" w:styleId="1">
    <w:name w:val="无列表1"/>
    <w:next w:val="a2"/>
    <w:uiPriority w:val="99"/>
    <w:semiHidden/>
    <w:unhideWhenUsed/>
    <w:rsid w:val="00013001"/>
  </w:style>
  <w:style w:type="character" w:styleId="a8">
    <w:name w:val="Strong"/>
    <w:basedOn w:val="a0"/>
    <w:uiPriority w:val="22"/>
    <w:qFormat/>
    <w:rsid w:val="00013001"/>
    <w:rPr>
      <w:b/>
      <w:bCs/>
    </w:rPr>
  </w:style>
  <w:style w:type="character" w:styleId="a9">
    <w:name w:val="annotation reference"/>
    <w:basedOn w:val="a0"/>
    <w:rsid w:val="000325E4"/>
    <w:rPr>
      <w:sz w:val="21"/>
      <w:szCs w:val="21"/>
    </w:rPr>
  </w:style>
  <w:style w:type="paragraph" w:styleId="aa">
    <w:name w:val="annotation text"/>
    <w:basedOn w:val="a"/>
    <w:link w:val="Char0"/>
    <w:rsid w:val="000325E4"/>
    <w:pPr>
      <w:jc w:val="left"/>
    </w:pPr>
  </w:style>
  <w:style w:type="character" w:customStyle="1" w:styleId="Char0">
    <w:name w:val="批注文字 Char"/>
    <w:basedOn w:val="a0"/>
    <w:link w:val="aa"/>
    <w:rsid w:val="000325E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1"/>
    <w:rsid w:val="000325E4"/>
    <w:rPr>
      <w:b/>
      <w:bCs/>
    </w:rPr>
  </w:style>
  <w:style w:type="character" w:customStyle="1" w:styleId="Char1">
    <w:name w:val="批注主题 Char"/>
    <w:basedOn w:val="Char0"/>
    <w:link w:val="ab"/>
    <w:rsid w:val="000325E4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styleId="ac">
    <w:name w:val="FollowedHyperlink"/>
    <w:basedOn w:val="a0"/>
    <w:uiPriority w:val="99"/>
    <w:unhideWhenUsed/>
    <w:rsid w:val="001355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0AD15-EB55-4259-9262-1BB45E41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1590</Words>
  <Characters>9069</Characters>
  <Application>Microsoft Office Word</Application>
  <DocSecurity>0</DocSecurity>
  <Lines>75</Lines>
  <Paragraphs>21</Paragraphs>
  <ScaleCrop>false</ScaleCrop>
  <Company>Sohu</Company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</cp:revision>
  <cp:lastPrinted>2016-12-08T02:18:00Z</cp:lastPrinted>
  <dcterms:created xsi:type="dcterms:W3CDTF">2016-12-12T11:20:00Z</dcterms:created>
  <dcterms:modified xsi:type="dcterms:W3CDTF">2018-04-16T02:43:00Z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